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02A98B" w14:textId="196FA1AC" w:rsidR="0028282D" w:rsidRPr="00FF4579" w:rsidRDefault="0028282D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</w:pPr>
      <w:bookmarkStart w:id="0" w:name="_GoBack"/>
      <w:r w:rsidRPr="00FF4579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 xml:space="preserve">Практическое занятие № </w:t>
      </w:r>
      <w:r w:rsidR="00EC6F90" w:rsidRPr="00FF4579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>5</w:t>
      </w:r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 xml:space="preserve"> группы </w:t>
      </w:r>
      <w:r w:rsidR="00571F9B" w:rsidRPr="00FF4579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>3</w:t>
      </w:r>
      <w:r w:rsidRPr="00FF4579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>1Ф</w:t>
      </w:r>
    </w:p>
    <w:p w14:paraId="752EE51A" w14:textId="1D68C0E7" w:rsidR="0028282D" w:rsidRPr="00FF4579" w:rsidRDefault="0028282D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 xml:space="preserve">преподаватель </w:t>
      </w:r>
      <w:r w:rsidR="00FF4579"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Кузнецова А.С.</w:t>
      </w:r>
    </w:p>
    <w:p w14:paraId="23180BB6" w14:textId="160B46D9" w:rsidR="0028282D" w:rsidRPr="00FF4579" w:rsidRDefault="0028282D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ПМ.04 О</w:t>
      </w:r>
      <w:proofErr w:type="spellStart"/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  <w:t>существление</w:t>
      </w:r>
      <w:proofErr w:type="spellEnd"/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  <w:t xml:space="preserve"> профилактической деятельности</w:t>
      </w:r>
    </w:p>
    <w:p w14:paraId="6C8602EE" w14:textId="1F048667" w:rsidR="0028282D" w:rsidRPr="00FF4579" w:rsidRDefault="0028282D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МДК 04.01 Проведение мероприятий по профилактике заболеваний, укреплению здоровья и пропаганде здорового образа жизни</w:t>
      </w:r>
    </w:p>
    <w:p w14:paraId="6C2B5F0B" w14:textId="77777777" w:rsidR="0028282D" w:rsidRPr="00FF4579" w:rsidRDefault="0028282D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Специальность </w:t>
      </w:r>
      <w:r w:rsidRPr="00FF4579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>31.02.01 Лечебное дело.</w:t>
      </w:r>
    </w:p>
    <w:p w14:paraId="56EA0921" w14:textId="28765E9F" w:rsidR="0028282D" w:rsidRPr="00FF4579" w:rsidRDefault="0028282D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 xml:space="preserve">Раздел I.  </w:t>
      </w:r>
    </w:p>
    <w:p w14:paraId="6B6D12A0" w14:textId="77777777" w:rsidR="0028282D" w:rsidRPr="00FF4579" w:rsidRDefault="0028282D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 </w:t>
      </w:r>
    </w:p>
    <w:p w14:paraId="3CA934DA" w14:textId="45A1AEF8" w:rsidR="0028282D" w:rsidRPr="00FF4579" w:rsidRDefault="0028282D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</w:pPr>
      <w:bookmarkStart w:id="1" w:name="_Hlk52999342"/>
      <w:r w:rsidRPr="00FF4579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u w:val="single"/>
          <w:lang w:eastAsia="ru-RU"/>
        </w:rPr>
        <w:t>Тема: </w:t>
      </w:r>
      <w:bookmarkStart w:id="2" w:name="_Hlk208344253"/>
      <w:bookmarkStart w:id="3" w:name="_Hlk208343417"/>
      <w:bookmarkEnd w:id="1"/>
      <w:r w:rsidR="000601DB" w:rsidRPr="00FF4579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ru-RU"/>
        </w:rPr>
        <w:t>Принципы формирования здорового образа жизни</w:t>
      </w:r>
      <w:bookmarkEnd w:id="2"/>
    </w:p>
    <w:bookmarkEnd w:id="3"/>
    <w:p w14:paraId="425D7459" w14:textId="77777777" w:rsidR="0028282D" w:rsidRPr="00FF4579" w:rsidRDefault="0028282D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FF4579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u w:val="single"/>
          <w:lang w:eastAsia="ru-RU"/>
        </w:rPr>
        <w:t>Вопросы к занятию:</w:t>
      </w:r>
    </w:p>
    <w:p w14:paraId="747C3A16" w14:textId="77777777" w:rsidR="000601DB" w:rsidRPr="00FF4579" w:rsidRDefault="000601DB" w:rsidP="00FF4579">
      <w:pPr>
        <w:pStyle w:val="a4"/>
        <w:numPr>
          <w:ilvl w:val="0"/>
          <w:numId w:val="3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 xml:space="preserve">Программы здорового образа жизни, в том числе программы, направленные на снижение потребления алкоголя и табака, предупреждение и борьбу с потреблением наркотических средств </w:t>
      </w:r>
    </w:p>
    <w:p w14:paraId="20B36662" w14:textId="7E113070" w:rsidR="000601DB" w:rsidRPr="00FF4579" w:rsidRDefault="000601DB" w:rsidP="00FF4579">
      <w:pPr>
        <w:pStyle w:val="a4"/>
        <w:numPr>
          <w:ilvl w:val="0"/>
          <w:numId w:val="3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 xml:space="preserve">Планирование мероприятий по формированию приверженности здоровому образу жизни населения прикрепленного участка. </w:t>
      </w:r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ab/>
      </w:r>
    </w:p>
    <w:p w14:paraId="2AEE5852" w14:textId="77777777" w:rsidR="0076325A" w:rsidRPr="00FF4579" w:rsidRDefault="0076325A" w:rsidP="00FF4579">
      <w:pPr>
        <w:spacing w:after="0" w:line="240" w:lineRule="auto"/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</w:pPr>
    </w:p>
    <w:p w14:paraId="7232AC30" w14:textId="2A5C1DC2" w:rsidR="0028282D" w:rsidRPr="00FF4579" w:rsidRDefault="0028282D" w:rsidP="00FF4579">
      <w:pPr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val="x-none" w:eastAsia="ru-RU"/>
        </w:rPr>
      </w:pPr>
      <w:r w:rsidRPr="00FF4579"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  <w:t xml:space="preserve">Цель: </w:t>
      </w:r>
    </w:p>
    <w:p w14:paraId="1D049358" w14:textId="7FF80F0E" w:rsidR="0028282D" w:rsidRPr="00FF4579" w:rsidRDefault="000601DB" w:rsidP="00FF4579">
      <w:pPr>
        <w:pStyle w:val="a4"/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eastAsia="ru-RU"/>
        </w:rPr>
      </w:pPr>
      <w:r w:rsidRPr="00FF4579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eastAsia="ru-RU"/>
        </w:rPr>
        <w:t>и</w:t>
      </w:r>
      <w:r w:rsidR="0028282D" w:rsidRPr="00FF4579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eastAsia="ru-RU"/>
        </w:rPr>
        <w:t xml:space="preserve">зучить </w:t>
      </w:r>
      <w:r w:rsidRPr="00FF4579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eastAsia="ru-RU"/>
        </w:rPr>
        <w:t>п</w:t>
      </w:r>
      <w:proofErr w:type="spellStart"/>
      <w:r w:rsidRPr="00FF4579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val="x-none" w:eastAsia="ru-RU"/>
        </w:rPr>
        <w:t>ринципы</w:t>
      </w:r>
      <w:proofErr w:type="spellEnd"/>
      <w:r w:rsidRPr="00FF4579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val="x-none" w:eastAsia="ru-RU"/>
        </w:rPr>
        <w:t xml:space="preserve"> формирования здорового образа жизни</w:t>
      </w:r>
      <w:r w:rsidR="0028282D" w:rsidRPr="00FF4579">
        <w:rPr>
          <w:rFonts w:ascii="Times New Roman" w:eastAsia="Times New Roman" w:hAnsi="Times New Roman" w:cs="Times New Roman"/>
          <w:bCs/>
          <w:iCs/>
          <w:color w:val="34464D"/>
          <w:sz w:val="28"/>
          <w:szCs w:val="28"/>
          <w:lang w:eastAsia="ru-RU"/>
        </w:rPr>
        <w:t xml:space="preserve">; </w:t>
      </w:r>
    </w:p>
    <w:p w14:paraId="2183C705" w14:textId="0E6AA7F1" w:rsidR="0028282D" w:rsidRPr="00FF4579" w:rsidRDefault="0028282D" w:rsidP="00FF4579">
      <w:pPr>
        <w:spacing w:after="0" w:line="240" w:lineRule="auto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</w:pPr>
    </w:p>
    <w:p w14:paraId="02FBC313" w14:textId="77777777" w:rsidR="0028282D" w:rsidRPr="00FF4579" w:rsidRDefault="0028282D" w:rsidP="00FF4579">
      <w:pPr>
        <w:spacing w:after="0" w:line="240" w:lineRule="auto"/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</w:pPr>
    </w:p>
    <w:p w14:paraId="0F7769AD" w14:textId="77777777" w:rsidR="0028282D" w:rsidRPr="00FF4579" w:rsidRDefault="0028282D" w:rsidP="00FF4579">
      <w:pPr>
        <w:spacing w:after="0" w:line="240" w:lineRule="auto"/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</w:pPr>
      <w:r w:rsidRPr="00FF4579"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  <w:t>уметь:</w:t>
      </w:r>
    </w:p>
    <w:p w14:paraId="67B1E695" w14:textId="77777777" w:rsidR="00B33D43" w:rsidRPr="00FF4579" w:rsidRDefault="00B33D43" w:rsidP="00FF457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FF4579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определять факторы риска хронических неинфекционных заболеваний на основании диагностических критериев;</w:t>
      </w:r>
    </w:p>
    <w:p w14:paraId="00369D5D" w14:textId="77777777" w:rsidR="0076325A" w:rsidRPr="00FF4579" w:rsidRDefault="0076325A" w:rsidP="00FF4579">
      <w:pPr>
        <w:pStyle w:val="a4"/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FF4579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проводить опрос (анкетирование), направленный на выявление хронических неинфекционных заболеваний, факторов риска их развития, потребления без назначения врача наркотических средств и психотропных веществ, курения, употребления алкоголя и его суррогатов;</w:t>
      </w:r>
    </w:p>
    <w:p w14:paraId="4A3FB208" w14:textId="6AAB726C" w:rsidR="0076325A" w:rsidRPr="00FF4579" w:rsidRDefault="0076325A" w:rsidP="00FF4579">
      <w:pPr>
        <w:pStyle w:val="a4"/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FF4579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выявлять курящих лиц и лиц, избыточно потребляющих алкоголь, а также потребляющих наркотические средства и психотропные вещества без назначения врача;</w:t>
      </w:r>
    </w:p>
    <w:p w14:paraId="25F091C9" w14:textId="77777777" w:rsidR="000601DB" w:rsidRPr="00FF4579" w:rsidRDefault="000601DB" w:rsidP="00FF4579">
      <w:pPr>
        <w:pStyle w:val="a4"/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FF4579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проводить работу по реализации программ здорового образа жизни, в том числе программы снижения потребления алкоголя и табака, предупреждения и борьбы с немедицинским потреблением наркотических средств и психотропных веществ;</w:t>
      </w:r>
    </w:p>
    <w:p w14:paraId="1915A1F7" w14:textId="77777777" w:rsidR="000601DB" w:rsidRPr="00FF4579" w:rsidRDefault="000601DB" w:rsidP="00FF4579">
      <w:pPr>
        <w:pStyle w:val="a4"/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FF4579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проводить индивидуальные (групповые) беседы с населением в пользу здорового образа жизни, по вопросам личной гигиены, гигиены труда и отдыха, здорового питания, по уровню физической активности, отказу от курения табака и потребления алкоголя, мерам профилактики предотвратимых болезней;</w:t>
      </w:r>
    </w:p>
    <w:p w14:paraId="281DB04C" w14:textId="77777777" w:rsidR="000601DB" w:rsidRPr="00FF4579" w:rsidRDefault="000601DB" w:rsidP="00FF4579">
      <w:pPr>
        <w:pStyle w:val="a4"/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FF4579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формировать общественное мнение в пользу здорового образа жизни, мотивировать население на здоровый образ жизни или изменение образа жизни, улучшение качества жизни, информировать о способах и программах отказа от вредных привычек;</w:t>
      </w:r>
    </w:p>
    <w:p w14:paraId="4E517938" w14:textId="77777777" w:rsidR="000601DB" w:rsidRPr="00FF4579" w:rsidRDefault="000601DB" w:rsidP="00FF4579">
      <w:pPr>
        <w:pStyle w:val="a4"/>
        <w:numPr>
          <w:ilvl w:val="0"/>
          <w:numId w:val="7"/>
        </w:numPr>
        <w:spacing w:after="0" w:line="240" w:lineRule="auto"/>
        <w:ind w:left="0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</w:p>
    <w:p w14:paraId="4B154039" w14:textId="77777777" w:rsidR="0028282D" w:rsidRPr="00FF4579" w:rsidRDefault="0028282D" w:rsidP="00FF4579">
      <w:pPr>
        <w:spacing w:after="0" w:line="240" w:lineRule="auto"/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</w:pPr>
      <w:r w:rsidRPr="00FF4579"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  <w:t xml:space="preserve">   знать:</w:t>
      </w:r>
    </w:p>
    <w:p w14:paraId="20EEFD4F" w14:textId="77777777" w:rsidR="00DB1EB8" w:rsidRPr="00FF4579" w:rsidRDefault="00DB1EB8" w:rsidP="00FF457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FF4579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диагностические критерии факторов риска заболеваний и (или) состояний, повышающих вероятность развития хронических неинфекционных заболеваний, с учетом возрастных особенностей;</w:t>
      </w:r>
    </w:p>
    <w:p w14:paraId="0B788D1B" w14:textId="77777777" w:rsidR="00DB1EB8" w:rsidRPr="00FF4579" w:rsidRDefault="00DB1EB8" w:rsidP="00FF457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FF4579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правила проведения индивидуального и группового  профилактического консультирования;</w:t>
      </w:r>
    </w:p>
    <w:p w14:paraId="00400F4C" w14:textId="77777777" w:rsidR="00DB1EB8" w:rsidRPr="00FF4579" w:rsidRDefault="00DB1EB8" w:rsidP="00FF457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FF4579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lastRenderedPageBreak/>
        <w:t>методы выявления курящих и лиц, избыточно потребляющих алкоголь, а также лиц, потребляющих наркотические средства и психотропные вещества без назначения врача;</w:t>
      </w:r>
    </w:p>
    <w:p w14:paraId="34978D15" w14:textId="77777777" w:rsidR="00DB1EB8" w:rsidRPr="00FF4579" w:rsidRDefault="00DB1EB8" w:rsidP="00FF457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FF4579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информационные технологии,  организационные формы и методы   по формированию здорового образа жизни населения,  в том числе программы снижения веса, потребления алкоголя и табака, предупреждения и борьбы с немедицинским  потреблением наркотических средств и психотропных веществ;</w:t>
      </w:r>
    </w:p>
    <w:p w14:paraId="350C3A7E" w14:textId="77777777" w:rsidR="00DB1EB8" w:rsidRPr="00FF4579" w:rsidRDefault="00DB1EB8" w:rsidP="00FF4579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  <w:r w:rsidRPr="00FF4579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  <w:t>рекомендации по вопросам личной гигиены, контрацепции, здорового образа жизни, профилактике заболеваний;</w:t>
      </w:r>
    </w:p>
    <w:p w14:paraId="41168F8D" w14:textId="2462C2C5" w:rsidR="00DB1EB8" w:rsidRPr="00FF4579" w:rsidRDefault="00DB1EB8" w:rsidP="00FF4579">
      <w:pPr>
        <w:spacing w:after="0" w:line="240" w:lineRule="auto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</w:p>
    <w:p w14:paraId="7BD6BE21" w14:textId="77777777" w:rsidR="004A5EF3" w:rsidRPr="00FF4579" w:rsidRDefault="004A5EF3" w:rsidP="00FF4579">
      <w:pPr>
        <w:spacing w:after="0" w:line="240" w:lineRule="auto"/>
        <w:rPr>
          <w:rFonts w:ascii="Times New Roman" w:eastAsia="Times New Roman" w:hAnsi="Times New Roman" w:cs="Times New Roman"/>
          <w:bCs/>
          <w:color w:val="34464D"/>
          <w:sz w:val="28"/>
          <w:szCs w:val="28"/>
          <w:lang w:val="x-none" w:eastAsia="ru-RU"/>
        </w:rPr>
      </w:pPr>
    </w:p>
    <w:p w14:paraId="65997A63" w14:textId="531AAAC8" w:rsidR="0028282D" w:rsidRPr="00FF4579" w:rsidRDefault="0028282D" w:rsidP="00FF4579">
      <w:pPr>
        <w:spacing w:after="0" w:line="240" w:lineRule="auto"/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</w:pPr>
      <w:r w:rsidRPr="00FF4579">
        <w:rPr>
          <w:rFonts w:ascii="Times New Roman" w:eastAsia="Times New Roman" w:hAnsi="Times New Roman" w:cs="Times New Roman"/>
          <w:b/>
          <w:color w:val="34464D"/>
          <w:sz w:val="28"/>
          <w:szCs w:val="28"/>
          <w:lang w:eastAsia="ru-RU"/>
        </w:rPr>
        <w:t>Основная литература:</w:t>
      </w:r>
    </w:p>
    <w:p w14:paraId="699DE96E" w14:textId="43150233" w:rsidR="0028282D" w:rsidRPr="00FF4579" w:rsidRDefault="00512F62" w:rsidP="00FF4579">
      <w:pPr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FF4579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  <w:t>1</w:t>
      </w:r>
      <w:r w:rsidR="0028282D" w:rsidRPr="00FF4579">
        <w:rPr>
          <w:rFonts w:ascii="Times New Roman" w:eastAsia="Times New Roman" w:hAnsi="Times New Roman" w:cs="Times New Roman"/>
          <w:bCs/>
          <w:color w:val="34464D"/>
          <w:sz w:val="28"/>
          <w:szCs w:val="28"/>
          <w:lang w:eastAsia="ru-RU"/>
        </w:rPr>
        <w:t xml:space="preserve">. </w:t>
      </w:r>
      <w:r w:rsidR="0028282D"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Федеральный закон РФ «Об охране здоровья граждан» от 21ноября 2011г. №323-ФЗ</w:t>
      </w:r>
    </w:p>
    <w:p w14:paraId="6114A091" w14:textId="25AF9D0D" w:rsidR="00512F62" w:rsidRPr="00FF4579" w:rsidRDefault="00512F62" w:rsidP="00FF4579">
      <w:pPr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2</w:t>
      </w:r>
      <w:r w:rsidR="0028282D"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 xml:space="preserve">. </w:t>
      </w:r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Профилактика хронических неинфекционных заболеваний в Российской Федерации. Национальное руководство 2022г</w:t>
      </w:r>
    </w:p>
    <w:p w14:paraId="097DBC5F" w14:textId="499D5D30" w:rsidR="00DB1EB8" w:rsidRPr="00FF4579" w:rsidRDefault="00512F62" w:rsidP="00FF4579">
      <w:pPr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3</w:t>
      </w:r>
      <w:r w:rsidR="00DB1EB8"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.  Приказ МЗ РФ от 29.10.2020 № 1177н «Об утверждении Порядка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организациях»</w:t>
      </w:r>
    </w:p>
    <w:p w14:paraId="350CE24A" w14:textId="4A6F9DE7" w:rsidR="004A5EF3" w:rsidRPr="00FF4579" w:rsidRDefault="004A5EF3" w:rsidP="00FF4579">
      <w:pPr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4. Приказ МЗ РФ от 27 апреля 2021 г. № 404н «Об утверждении порядка проведения профилактического медицинского осмотра и диспансеризации определенных гру</w:t>
      </w:r>
      <w:proofErr w:type="gramStart"/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пп взр</w:t>
      </w:r>
      <w:proofErr w:type="gramEnd"/>
      <w:r w:rsidRPr="00FF4579"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  <w:t>ослого населения».</w:t>
      </w:r>
    </w:p>
    <w:p w14:paraId="37CECE4E" w14:textId="37B047AD" w:rsidR="00DB1EB8" w:rsidRPr="00FF4579" w:rsidRDefault="00DB1EB8" w:rsidP="00FF4579">
      <w:pPr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ru-RU"/>
        </w:rPr>
      </w:pPr>
    </w:p>
    <w:p w14:paraId="6793DEC5" w14:textId="415DB6DC" w:rsidR="0028282D" w:rsidRPr="00FF4579" w:rsidRDefault="0028282D" w:rsidP="00FF457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ED61C43" w14:textId="77777777" w:rsidR="0028282D" w:rsidRPr="00FF4579" w:rsidRDefault="0028282D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  <w:r w:rsidRPr="00FF4579">
        <w:rPr>
          <w:rFonts w:ascii="Times New Roman" w:eastAsia="Times New Roman" w:hAnsi="Times New Roman" w:cs="Times New Roman"/>
          <w:b/>
          <w:bCs/>
          <w:color w:val="34464D"/>
          <w:sz w:val="28"/>
          <w:szCs w:val="28"/>
          <w:lang w:eastAsia="zh-CN"/>
        </w:rPr>
        <w:t>Задание студентам:</w:t>
      </w:r>
    </w:p>
    <w:p w14:paraId="36529393" w14:textId="31C02C00" w:rsidR="00B33D43" w:rsidRPr="00FF4579" w:rsidRDefault="0035127D" w:rsidP="00FF457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FF457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Составить </w:t>
      </w:r>
      <w:r w:rsidR="00EC6F90" w:rsidRPr="00FF4579">
        <w:rPr>
          <w:rFonts w:ascii="Times New Roman" w:eastAsia="Times New Roman" w:hAnsi="Times New Roman" w:cs="Times New Roman"/>
          <w:sz w:val="28"/>
          <w:szCs w:val="28"/>
          <w:lang w:eastAsia="zh-CN"/>
        </w:rPr>
        <w:t>план гигиенического воспитания населения в зависимости от возрастной группы</w:t>
      </w:r>
      <w:r w:rsidR="004A5EF3" w:rsidRPr="00FF4579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14:paraId="3D521FA8" w14:textId="05E1F09C" w:rsidR="00D2336A" w:rsidRPr="00FF4579" w:rsidRDefault="00D2336A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058BC30" w14:textId="390A82D4" w:rsidR="0028282D" w:rsidRPr="00FF4579" w:rsidRDefault="0028282D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349E358" w14:textId="24A38920" w:rsidR="00FE766F" w:rsidRPr="00FF4579" w:rsidRDefault="00FE766F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0D06884" w14:textId="46466C44" w:rsidR="00FE766F" w:rsidRPr="00FF4579" w:rsidRDefault="00FE766F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6B43E27" w14:textId="1BC122A8" w:rsidR="00FE766F" w:rsidRPr="00FF4579" w:rsidRDefault="00FE766F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5B5B3B41" w14:textId="55FD1D9B" w:rsidR="00FE766F" w:rsidRPr="00FF4579" w:rsidRDefault="00FE766F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A6599D9" w14:textId="56CC122A" w:rsidR="00FE766F" w:rsidRPr="00FF4579" w:rsidRDefault="00FE766F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DE1CA85" w14:textId="0A23346D" w:rsidR="00FE766F" w:rsidRPr="00FF4579" w:rsidRDefault="00FE766F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039EE07D" w14:textId="0116D94E" w:rsidR="00FE766F" w:rsidRPr="00FF4579" w:rsidRDefault="00FE766F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49B3A29" w14:textId="321312E9" w:rsidR="00FE766F" w:rsidRPr="00FF4579" w:rsidRDefault="00FE766F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0C935AF" w14:textId="621D4786" w:rsidR="00FE766F" w:rsidRPr="00FF4579" w:rsidRDefault="00FE766F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84DCE6D" w14:textId="7BF4F0E7" w:rsidR="00FE766F" w:rsidRPr="00FF4579" w:rsidRDefault="00FE766F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ECACECB" w14:textId="456C2BC5" w:rsidR="00FE766F" w:rsidRPr="00FF4579" w:rsidRDefault="00FE766F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1D7FF4E" w14:textId="366A2BE7" w:rsidR="00FE766F" w:rsidRPr="00FF4579" w:rsidRDefault="00FE766F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2230B38" w14:textId="35723611" w:rsidR="00FE766F" w:rsidRPr="00FF4579" w:rsidRDefault="00FE766F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AA3090F" w14:textId="77777777" w:rsidR="00512F62" w:rsidRPr="00FF4579" w:rsidRDefault="00512F62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C446ACE" w14:textId="77777777" w:rsidR="00512F62" w:rsidRPr="00FF4579" w:rsidRDefault="00512F62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096F8ED" w14:textId="77777777" w:rsidR="00512F62" w:rsidRPr="00FF4579" w:rsidRDefault="00512F62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D062BCC" w14:textId="77777777" w:rsidR="00512F62" w:rsidRPr="00FF4579" w:rsidRDefault="00512F62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BE25666" w14:textId="77777777" w:rsidR="00512F62" w:rsidRPr="00FF4579" w:rsidRDefault="00512F62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60F2C3F" w14:textId="77777777" w:rsidR="00512F62" w:rsidRPr="00FF4579" w:rsidRDefault="00512F62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6CBF86ED" w14:textId="77777777" w:rsidR="00512F62" w:rsidRPr="00FF4579" w:rsidRDefault="00512F62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073932B" w14:textId="77777777" w:rsidR="00512F62" w:rsidRPr="00FF4579" w:rsidRDefault="00512F62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1B7F340F" w14:textId="77777777" w:rsidR="00512F62" w:rsidRPr="00FF4579" w:rsidRDefault="00512F62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76FB8F2B" w14:textId="77777777" w:rsidR="00512F62" w:rsidRPr="00FF4579" w:rsidRDefault="00512F62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26BD1F8F" w14:textId="77777777" w:rsidR="00512F62" w:rsidRPr="00FF4579" w:rsidRDefault="00512F62" w:rsidP="00FF45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p w14:paraId="3A12E55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Профилактика заболеваний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(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diseases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prevention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) – система мер медицинского и немедицинского характера, направленная на предупреждение, снижение риска развития отклонений в состоянии здоровья и заболеваний, предотвращение или замедление их прогрессирования, уменьшения их неблагоприятных последствий. </w:t>
      </w:r>
    </w:p>
    <w:p w14:paraId="01F5F69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40164C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Согласно определению ВОЗ, профилактика заболеваний – «мероприятия, направленные на предупреждение болезней: борьба с факторами риска, иммунизация, замедление развития заболеваний и уменьшение их последствий». </w:t>
      </w:r>
    </w:p>
    <w:p w14:paraId="54841E6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Различают следующие виды профилактики: </w:t>
      </w:r>
    </w:p>
    <w:p w14:paraId="6B8F4CC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Первичная профилактика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направлена на предотвращение развития заболеваний у здоровых лиц. </w:t>
      </w:r>
    </w:p>
    <w:p w14:paraId="738155B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Вторичная профилактика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проводится у лиц, имеющих факторы риска, с целью предотвращения развития определенной болезни, а также у пациентов, имеющих начальные стадии хронических заболеваний, чтобы замедлить сроки прогрессирования заболевания, увеличить длительность ремиссии. </w:t>
      </w:r>
    </w:p>
    <w:p w14:paraId="43C15A9E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Третичная профилактика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предназначается для пациентов с хроническими заболеваниями. В стадии ремиссии проводится с целью уменьшения числа рецидивов, их продолжительности, тяжести, замедления сроков прогрессирования заболевания, а в стадии обострения (манифестации) основной задачей третичной профилактики является скорейшее восстановление пациента и социальная адаптация. </w:t>
      </w:r>
    </w:p>
    <w:p w14:paraId="6BBE27D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790BC8D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Некоторые авторы выделяют четвертичную профилактику, подразумевая под ней </w:t>
      </w: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медико-социальную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реабилитацию и исключение социальной изоляции пациента. </w:t>
      </w:r>
    </w:p>
    <w:p w14:paraId="5424904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9C0129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Болезнь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. </w:t>
      </w:r>
    </w:p>
    <w:p w14:paraId="78951A8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Проще всего определить болезнь как уменьшение адаптации к окружающей среде. </w:t>
      </w:r>
    </w:p>
    <w:p w14:paraId="0B28267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Федеральным законом РФ № 323-ФЗ1 дано следующее определение: «Болезнь – заболевание, возникающее в связи с воздействием патогенных факторов нарушения деятельности организма, работоспособности, способности адаптироваться к изменяющимся условиям внешней и внутренней среды при одновременном изменении защитно-компенсаторных и защитно-приспособительных реакций и механизмов организма». </w:t>
      </w:r>
    </w:p>
    <w:p w14:paraId="1E590A6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8F0394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Развитие болезни определяется не только состоянием индивидуума, но и отношением общества к индивидууму. Роль общества заключается в создании условий, которые препятствовали бы развитию болезней у отдельных индивидуумов, а в тех случаях, когда болезнь все же развилась, – в создании условий, способствующих их скорейшей реабилитации и возвращению к активной жизни. </w:t>
      </w:r>
    </w:p>
    <w:p w14:paraId="12D327C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9AA9B5E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Здоровье. </w:t>
      </w:r>
    </w:p>
    <w:p w14:paraId="3117525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Существует более 70 определений понятия здоровье и несколько аксиоматических положений, с которыми соглашается большинство авторов: </w:t>
      </w:r>
    </w:p>
    <w:p w14:paraId="66BDE03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 абсолютном смысле здоровья не существует; абсолютное здоровье – идеал. </w:t>
      </w:r>
    </w:p>
    <w:p w14:paraId="1D4F825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Каждый человек здоров условно; ни один человек не бывает на протяжении всей жизни вполне здоровым. </w:t>
      </w:r>
    </w:p>
    <w:p w14:paraId="0E46F2D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Каждый человек может быть здоров в определенных условиях (климат, пища, труд). </w:t>
      </w:r>
    </w:p>
    <w:p w14:paraId="52DF937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Есть подходящие (нормальные) и неподходящие (вредные) жизненные условия для конкретного человека. </w:t>
      </w:r>
    </w:p>
    <w:p w14:paraId="66287F1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Условия, нормальные для одного, могут быть ненормальными для другого. </w:t>
      </w:r>
    </w:p>
    <w:p w14:paraId="3AA066CE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3694B15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Федеральным законом дается определение: «Здоровье – состояние физического, психического и социального благополучия человека, при котором отсутствуют заболевания, а также расстройства функций органов и систем организма». </w:t>
      </w:r>
    </w:p>
    <w:p w14:paraId="0163716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F0160DE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Согласно определению ВОЗ, «здоровье – состояние полного физического, душевного и социального благополучия, а не только отсутствие болезней». </w:t>
      </w:r>
    </w:p>
    <w:p w14:paraId="52EDFB3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0ECA643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Определение ВОЗ подразумевает, что в различных обществах, разных культурах восприятие здоровья может быть неодинаковым. Так, в обществе потребления под социальным здоровьем понимают наличие материальных благ, а в духовном обществе (например, религиозной общине) – душевную чистоту, близость к Богу и т. д. </w:t>
      </w:r>
    </w:p>
    <w:p w14:paraId="05743F0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7A35C64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Личное здоровье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характеризует состояние индивидуума. </w:t>
      </w:r>
    </w:p>
    <w:p w14:paraId="311C488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Соответствие различных показателей гомеостаза норме и отсутствие признаков болезни не обязательно означает, что человек здоров. </w:t>
      </w:r>
    </w:p>
    <w:p w14:paraId="2517924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Поэтому в своей лечебной деятельности врач обычно ограничивается заключением «практически здоров». Данное выражение подразумевает, что на некотором ближайшем отрезке времени человек может быть здоров и трудоспособен, однако он не гарантирован от заболеваний при изменении условий в его окружении, например, в быту или на работе. </w:t>
      </w:r>
    </w:p>
    <w:p w14:paraId="1454685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0533BFAE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Общественное здоровье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 – состояние общества в целом. </w:t>
      </w:r>
    </w:p>
    <w:p w14:paraId="2D4D232B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Характеризуется такими показателями, как рождаемость, смертность, средняя продолжительность жизни и т. д. </w:t>
      </w:r>
    </w:p>
    <w:p w14:paraId="034B01D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Здоровье жителей определенного региона, территории называется региональным здоровьем. </w:t>
      </w:r>
    </w:p>
    <w:p w14:paraId="6F933B9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7E614A6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 точки зрения ВОЗ, здоровье людей – социальное понятие, поэтому для оценки общественного здоровья рекомендуется использовать следующие показатели: </w:t>
      </w:r>
    </w:p>
    <w:p w14:paraId="75700D48" w14:textId="77777777" w:rsidR="000601DB" w:rsidRPr="00FF4579" w:rsidRDefault="000601DB" w:rsidP="00FF457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отчисление валового национального продукта на здравоохранение; </w:t>
      </w:r>
    </w:p>
    <w:p w14:paraId="66BA8874" w14:textId="77777777" w:rsidR="000601DB" w:rsidRPr="00FF4579" w:rsidRDefault="000601DB" w:rsidP="00FF457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доступность первичной медико-санитарной помощи; </w:t>
      </w:r>
    </w:p>
    <w:p w14:paraId="1D11A960" w14:textId="77777777" w:rsidR="000601DB" w:rsidRPr="00FF4579" w:rsidRDefault="000601DB" w:rsidP="00FF457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уровень вакцинопрофилактики населения; </w:t>
      </w:r>
    </w:p>
    <w:p w14:paraId="499B9C8B" w14:textId="77777777" w:rsidR="000601DB" w:rsidRPr="00FF4579" w:rsidRDefault="000601DB" w:rsidP="00FF457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степень обследования беременных квалифицированным персоналом; </w:t>
      </w:r>
    </w:p>
    <w:p w14:paraId="71D16413" w14:textId="77777777" w:rsidR="000601DB" w:rsidRPr="00FF4579" w:rsidRDefault="000601DB" w:rsidP="00FF457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состояние питания детей и подростков; </w:t>
      </w:r>
    </w:p>
    <w:p w14:paraId="08F9161B" w14:textId="77777777" w:rsidR="000601DB" w:rsidRPr="00FF4579" w:rsidRDefault="000601DB" w:rsidP="00FF457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уровень детской смертности, особенно первого года жизни; </w:t>
      </w:r>
    </w:p>
    <w:p w14:paraId="56D1BE2F" w14:textId="77777777" w:rsidR="000601DB" w:rsidRPr="00FF4579" w:rsidRDefault="000601DB" w:rsidP="00FF457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средняя продолжительность предстоящей жизни; </w:t>
      </w:r>
    </w:p>
    <w:p w14:paraId="4779E9A4" w14:textId="77777777" w:rsidR="000601DB" w:rsidRPr="00FF4579" w:rsidRDefault="000601DB" w:rsidP="00FF4579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гигиеническая грамотность населения. </w:t>
      </w:r>
    </w:p>
    <w:p w14:paraId="2B0506E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7AE5B87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Для поддержания общественного здоровья необходим целый комплекс воздействий – законодательных, культурных и др. </w:t>
      </w:r>
    </w:p>
    <w:p w14:paraId="59E24EB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Только совместные усилия медицинских работников и общества в целом способны улучшить его состояние. </w:t>
      </w:r>
    </w:p>
    <w:p w14:paraId="59F2F08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bCs/>
          <w:i/>
          <w:iCs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При этом ключевым моментом является изменение отношения населения к собственному здоровью, так как, по данным научных исследований, </w:t>
      </w:r>
      <w:r w:rsidRPr="00FF4579">
        <w:rPr>
          <w:rFonts w:ascii="Times New Roman" w:eastAsia="Calibri" w:hAnsi="Times New Roman" w:cs="Times New Roman"/>
          <w:b/>
          <w:bCs/>
          <w:i/>
          <w:iCs/>
          <w:kern w:val="2"/>
          <w:sz w:val="28"/>
          <w:szCs w:val="28"/>
          <w14:ligatures w14:val="standardContextual"/>
        </w:rPr>
        <w:t xml:space="preserve">здоровье населения зависит </w:t>
      </w:r>
      <w:proofErr w:type="gramStart"/>
      <w:r w:rsidRPr="00FF4579">
        <w:rPr>
          <w:rFonts w:ascii="Times New Roman" w:eastAsia="Calibri" w:hAnsi="Times New Roman" w:cs="Times New Roman"/>
          <w:b/>
          <w:bCs/>
          <w:i/>
          <w:iCs/>
          <w:kern w:val="2"/>
          <w:sz w:val="28"/>
          <w:szCs w:val="28"/>
          <w14:ligatures w14:val="standardContextual"/>
        </w:rPr>
        <w:t>от</w:t>
      </w:r>
      <w:proofErr w:type="gramEnd"/>
      <w:r w:rsidRPr="00FF4579">
        <w:rPr>
          <w:rFonts w:ascii="Times New Roman" w:eastAsia="Calibri" w:hAnsi="Times New Roman" w:cs="Times New Roman"/>
          <w:b/>
          <w:bCs/>
          <w:i/>
          <w:iCs/>
          <w:kern w:val="2"/>
          <w:sz w:val="28"/>
          <w:szCs w:val="28"/>
          <w14:ligatures w14:val="standardContextual"/>
        </w:rPr>
        <w:t xml:space="preserve">: </w:t>
      </w:r>
    </w:p>
    <w:p w14:paraId="5802B619" w14:textId="77777777" w:rsidR="000601DB" w:rsidRPr="00FF4579" w:rsidRDefault="000601DB" w:rsidP="00FF4579">
      <w:pPr>
        <w:numPr>
          <w:ilvl w:val="0"/>
          <w:numId w:val="34"/>
        </w:numPr>
        <w:spacing w:after="0" w:line="240" w:lineRule="auto"/>
        <w:ind w:left="0" w:hanging="283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образа жизни и социальных условий на 50–55 %; </w:t>
      </w:r>
    </w:p>
    <w:p w14:paraId="7B10C05C" w14:textId="77777777" w:rsidR="000601DB" w:rsidRPr="00FF4579" w:rsidRDefault="000601DB" w:rsidP="00FF4579">
      <w:pPr>
        <w:numPr>
          <w:ilvl w:val="0"/>
          <w:numId w:val="34"/>
        </w:numPr>
        <w:spacing w:after="0" w:line="240" w:lineRule="auto"/>
        <w:ind w:left="0" w:hanging="283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генетических факторов на 20–22 %; </w:t>
      </w:r>
    </w:p>
    <w:p w14:paraId="4CB07D1C" w14:textId="77777777" w:rsidR="000601DB" w:rsidRPr="00FF4579" w:rsidRDefault="000601DB" w:rsidP="00FF4579">
      <w:pPr>
        <w:numPr>
          <w:ilvl w:val="0"/>
          <w:numId w:val="34"/>
        </w:numPr>
        <w:spacing w:after="0" w:line="240" w:lineRule="auto"/>
        <w:ind w:left="0" w:hanging="283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экологической ситуации на 19–20 %; </w:t>
      </w:r>
    </w:p>
    <w:p w14:paraId="29BC8665" w14:textId="77777777" w:rsidR="000601DB" w:rsidRPr="00FF4579" w:rsidRDefault="000601DB" w:rsidP="00FF4579">
      <w:pPr>
        <w:numPr>
          <w:ilvl w:val="0"/>
          <w:numId w:val="34"/>
        </w:numPr>
        <w:spacing w:after="0" w:line="240" w:lineRule="auto"/>
        <w:ind w:left="0" w:hanging="283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уровня системы здравоохранения и качества оказания медицинской помощи – лишь на 7–10 %. </w:t>
      </w:r>
    </w:p>
    <w:p w14:paraId="407CA7C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093C99DE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Здоровый образ жизни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 – это способ жизнедеятельности, направленный на сохранение и улучшение здоровья людей. </w:t>
      </w:r>
    </w:p>
    <w:p w14:paraId="74E78BB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Под здоровым образом жизни подразумевается изменение отношения индивидуума и общества в целом к состоянию личного (а через него и общественного) здоровья. </w:t>
      </w:r>
    </w:p>
    <w:p w14:paraId="71E738C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Если индивидуум не пьет, не курит, не употребляет наркотики, занимается физической культурой, то его шансы заболеть уменьшаются. </w:t>
      </w:r>
    </w:p>
    <w:p w14:paraId="4E791F2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Если общество запрещает рекламу алкоголя, табака, то их потребление снижается. </w:t>
      </w:r>
    </w:p>
    <w:p w14:paraId="17ACE95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Если государство занимается строительством спортивных учреждений, пропагандой активных занятий спортом, то растет число лиц, занимающихся физической культурой. </w:t>
      </w:r>
    </w:p>
    <w:p w14:paraId="5F7FB39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118DE8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Таким образом, лишь совокупность индивидуальных и общественных мероприятий в состоянии улучшить как личное, так и общественное здоровье. </w:t>
      </w:r>
    </w:p>
    <w:p w14:paraId="721CB50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Комплекс индивидуальных и общественных мероприятий, направленных на улучшение личного и общественного здоровья, можно рассматривать как залог стабильного или успешного развития человеческого сообщества. </w:t>
      </w:r>
    </w:p>
    <w:p w14:paraId="5258E5C4" w14:textId="366E20ED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Согласно Ю. П. Лисицыну, формирование здорового образа жизни складывается из двух основных направлений.</w:t>
      </w:r>
    </w:p>
    <w:p w14:paraId="37737A8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4305D37" w14:textId="77777777" w:rsidR="000601DB" w:rsidRPr="00FF4579" w:rsidRDefault="000601DB" w:rsidP="00FF4579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noProof/>
          <w:kern w:val="2"/>
          <w:sz w:val="28"/>
          <w:szCs w:val="28"/>
          <w:lang w:eastAsia="ru-RU"/>
          <w14:ligatures w14:val="standardContextual"/>
        </w:rPr>
        <w:drawing>
          <wp:inline distT="0" distB="0" distL="0" distR="0" wp14:anchorId="034D8A2D" wp14:editId="50BA8E0E">
            <wp:extent cx="4710989" cy="2318918"/>
            <wp:effectExtent l="0" t="0" r="0" b="0"/>
            <wp:docPr id="124335074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350744" name=""/>
                    <pic:cNvPicPr/>
                  </pic:nvPicPr>
                  <pic:blipFill rotWithShape="1">
                    <a:blip r:embed="rId8"/>
                    <a:srcRect l="21464" t="26235" r="7646" b="11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1338" cy="2319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74EE7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6ECD26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Можно выделить следующие основные задачи программ, направленных на продвижение здорового образа жизни: </w:t>
      </w:r>
    </w:p>
    <w:p w14:paraId="565163DB" w14:textId="77777777" w:rsidR="000601DB" w:rsidRPr="00FF4579" w:rsidRDefault="000601DB" w:rsidP="00FF4579">
      <w:pPr>
        <w:numPr>
          <w:ilvl w:val="0"/>
          <w:numId w:val="35"/>
        </w:numPr>
        <w:spacing w:after="0" w:line="240" w:lineRule="auto"/>
        <w:ind w:left="0" w:hanging="283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первичная профилактика; </w:t>
      </w:r>
    </w:p>
    <w:p w14:paraId="0B70B49C" w14:textId="77777777" w:rsidR="000601DB" w:rsidRPr="00FF4579" w:rsidRDefault="000601DB" w:rsidP="00FF4579">
      <w:pPr>
        <w:numPr>
          <w:ilvl w:val="0"/>
          <w:numId w:val="35"/>
        </w:numPr>
        <w:spacing w:after="0" w:line="240" w:lineRule="auto"/>
        <w:ind w:left="0" w:hanging="283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вторичная профилактика; </w:t>
      </w:r>
    </w:p>
    <w:p w14:paraId="7DCD754C" w14:textId="77777777" w:rsidR="000601DB" w:rsidRPr="00FF4579" w:rsidRDefault="000601DB" w:rsidP="00FF4579">
      <w:pPr>
        <w:numPr>
          <w:ilvl w:val="0"/>
          <w:numId w:val="35"/>
        </w:numPr>
        <w:spacing w:after="0" w:line="240" w:lineRule="auto"/>
        <w:ind w:left="0" w:hanging="283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третичная профилактика; </w:t>
      </w:r>
    </w:p>
    <w:p w14:paraId="4E19E064" w14:textId="77777777" w:rsidR="000601DB" w:rsidRPr="00FF4579" w:rsidRDefault="000601DB" w:rsidP="00FF4579">
      <w:pPr>
        <w:numPr>
          <w:ilvl w:val="0"/>
          <w:numId w:val="35"/>
        </w:numPr>
        <w:spacing w:after="0" w:line="240" w:lineRule="auto"/>
        <w:ind w:left="0" w:hanging="283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ускорение выздоровления и включение в полноценную жизнь лиц с острыми заболеваниями; </w:t>
      </w:r>
    </w:p>
    <w:p w14:paraId="51C238DD" w14:textId="77777777" w:rsidR="000601DB" w:rsidRPr="00FF4579" w:rsidRDefault="000601DB" w:rsidP="00FF4579">
      <w:pPr>
        <w:numPr>
          <w:ilvl w:val="0"/>
          <w:numId w:val="35"/>
        </w:numPr>
        <w:spacing w:after="0" w:line="240" w:lineRule="auto"/>
        <w:ind w:left="0" w:hanging="283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улучшение качества жизни больных с острыми и хроническими заболеваниями; </w:t>
      </w:r>
    </w:p>
    <w:p w14:paraId="230C5CA4" w14:textId="77777777" w:rsidR="000601DB" w:rsidRPr="00FF4579" w:rsidRDefault="000601DB" w:rsidP="00FF4579">
      <w:pPr>
        <w:numPr>
          <w:ilvl w:val="0"/>
          <w:numId w:val="35"/>
        </w:numPr>
        <w:spacing w:after="0" w:line="240" w:lineRule="auto"/>
        <w:ind w:left="0" w:hanging="283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улучшение состояния здоровья лиц с хроническими заболеваниями; </w:t>
      </w:r>
    </w:p>
    <w:p w14:paraId="2C4AB7B3" w14:textId="77777777" w:rsidR="000601DB" w:rsidRPr="00FF4579" w:rsidRDefault="000601DB" w:rsidP="00FF4579">
      <w:pPr>
        <w:numPr>
          <w:ilvl w:val="0"/>
          <w:numId w:val="35"/>
        </w:numPr>
        <w:spacing w:after="0" w:line="240" w:lineRule="auto"/>
        <w:ind w:left="0" w:hanging="283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социальная адаптация инвалидов. </w:t>
      </w:r>
    </w:p>
    <w:p w14:paraId="497629B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52C1E1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Укрепление здоровья. </w:t>
      </w:r>
    </w:p>
    <w:p w14:paraId="188B177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Медицинские работники практически не могут повлиять на социально-экономические факторы или изменить среду обитания. </w:t>
      </w:r>
    </w:p>
    <w:p w14:paraId="2B0F480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Однако путем пропаганды и обучения населения здоровым привычкам (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здоровьесберегающим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технологиям) можно пытаться скорректировать образ и стереотипы жизни отдельных лиц или же определенных групп населения. </w:t>
      </w:r>
    </w:p>
    <w:p w14:paraId="044A352B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Основная задача при этом – информирование и обучение определенным навыкам поведения, цель – повышение ответственности индивидуума за собственное здоровье и изменение мотивации поведения. </w:t>
      </w:r>
    </w:p>
    <w:p w14:paraId="2DE66E3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Укрепление здоровья – многофакторный и многосторонний процесс. Он не ограничивается только медико-санитарным просвещением. Подобное просвещение не дает необходимых навыков и умений, а лишь способствует представлению информации. </w:t>
      </w:r>
    </w:p>
    <w:p w14:paraId="7C1E10C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Укрепление здоровья невозможно без диалога медицинского работника и индивидуума. Данный диалог должен быть направлен на объяснение необходимости проведения тех или иных профилактических мероприятий. </w:t>
      </w:r>
    </w:p>
    <w:p w14:paraId="2876D7B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Без диалога индивидуум не способен активно воспринимать и зачастую игнорирует информацию о факторах, влияющих на здоровье, подвергающих его риску. Для успешного проведения мероприятий по укреплению здоровья медицинский работник должен хорошо знать все разделы медицины. </w:t>
      </w:r>
    </w:p>
    <w:p w14:paraId="723D980F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Но прежде всего он должен понимать, что такое здоровье и болезнь, какие существуют критерии их выявления, как они сказываются на качестве жизни индивидуума. Кроме того, медицинский работник должен обладать информацией об основных факторах, влияющих на здоровье. </w:t>
      </w:r>
    </w:p>
    <w:p w14:paraId="3FFF73D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Необходимы также знания об особенностях реализации программ укрепления здоровья в различных целевых группах.</w:t>
      </w:r>
    </w:p>
    <w:p w14:paraId="460B79EF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151B19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76160F8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Здоровый образ жизни (ЗОЖ)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— это образ жизни человека, направленный на предупреждение возникновения и развития неинфекционных заболеваний и характеризующийся исключением или сокращением действия поведенческих факторов риска (</w:t>
      </w: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ФР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), к числу которых относятся употребление табака, вредное потребление алкоголя, нерациональное питание, отсутствие физической активности, а также неадаптивное преодоление стрессов.</w:t>
      </w:r>
    </w:p>
    <w:p w14:paraId="475E473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06DF0A6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bCs/>
          <w:i/>
          <w:iCs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i/>
          <w:iCs/>
          <w:kern w:val="2"/>
          <w:sz w:val="28"/>
          <w:szCs w:val="28"/>
          <w14:ligatures w14:val="standardContextual"/>
        </w:rPr>
        <w:t xml:space="preserve">В расчет показателя ЗОЖ вошли пять показателей и критериев: </w:t>
      </w:r>
    </w:p>
    <w:p w14:paraId="359E1FAE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Отсутствие курения. </w:t>
      </w:r>
    </w:p>
    <w:p w14:paraId="0E32140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Потребление овощей и фруктов ежедневно в количестве не менее 400 г в сутки</w:t>
      </w:r>
    </w:p>
    <w:p w14:paraId="323724C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Употребление соли не более 5 г в 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сут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.</w:t>
      </w:r>
    </w:p>
    <w:p w14:paraId="088A2CF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Употребление алкоголя не &gt;168 г чистого спирта в 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нед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. для мужчин и не &gt;84 г для женщин.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ab/>
      </w:r>
    </w:p>
    <w:p w14:paraId="37EC280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79C8204E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Особое внимание уделяется факторам образа жизни, большинство из которых являются управляемыми, что важно с позиции профилактики заболеваний. </w:t>
      </w:r>
    </w:p>
    <w:p w14:paraId="0D8C3E0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К таким </w:t>
      </w: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модифицируемым </w:t>
      </w:r>
      <w:proofErr w:type="gramStart"/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ФР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относятся как поведенческие факторы, такие как табакокурение, чрезмерное потребление алкоголя, низкая ФА (НФА), нерациональное питание (НП), так и метаболические/биологические факторы — повышенное АД, дислипидемия (ДЛП), гипергликемия, избыточная масса тела/ОЖ и особенно их сочетание.</w:t>
      </w:r>
    </w:p>
    <w:p w14:paraId="58348FBF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Так, увеличению риска </w:t>
      </w: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ССЗ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способствуют 7 ключевых </w:t>
      </w: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ФР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, роль которых доказана и нивелирование которых обладает превентивным эффектом: НП, курение, 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избМТ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/ОЖ, НФА, неконтролируемое АД, повышенный уровень холестерина (ХС) и сахара крови. </w:t>
      </w:r>
    </w:p>
    <w:p w14:paraId="737B803B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3F33C3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Среди </w:t>
      </w:r>
      <w:proofErr w:type="gramStart"/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ФР</w:t>
      </w:r>
      <w:proofErr w:type="gramEnd"/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 ЗНО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наряду с особой группой факторов канцерогенной природы (биологических, химических, физических) важнейшее значение имеют общие для всех основных ФР ХНИЗ — курение табака, алкоголь и НП. Для некоторых форм рака (рак молочной железы (РМЖ), толстой кишки, эндометрия, почек и пищевода) к </w:t>
      </w: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ФР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относят 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избМТ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и НФА, также общие для других ХНИЗ. </w:t>
      </w:r>
    </w:p>
    <w:p w14:paraId="0559C94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К превентивным мерам многих форм рака относят факторы питания, что также подтверждает общность факторов образа жизни </w:t>
      </w: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для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основных ХНИЗ. </w:t>
      </w:r>
    </w:p>
    <w:p w14:paraId="608C2EBE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14:paraId="7CEA097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ХРЗ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 — это широкий спектр заболеваний, включающий ХОБЛ, профессиональные заболевания легких, БА, респираторные аллергии, синдром апноэ во сне и легочную гипертензию. </w:t>
      </w:r>
    </w:p>
    <w:p w14:paraId="3979D6E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ФР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ХРЗ считаются генетические особенности, факторы окружающей среды (загрязнения воздуха, включая табачный дым и вторичный табачный дым, загрязнение воздуха внутри и снаружи помещений), условий производств, а также и социально-экономические факторы [18]. </w:t>
      </w:r>
    </w:p>
    <w:p w14:paraId="1236FAA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23B514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СД не только самостоятельное хроническое заболевание, но и </w:t>
      </w: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ФР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развития серьезных, иногда 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жизнеугрожающих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ССЗ, почечной недостаточности и поражений зрения, которые могут привести к слепоте, сосудистых поражений периферических артерий до язв, что может повлечь ампутацию конечностей. Наиболее частой формой является СД 2 типа, в развитии которого важное значение также, как и другим основным ХНИЗ, придается факторам образа жизни, прежде всего, высокому потреблению простых сахаров, НФА, приводящих </w:t>
      </w: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к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 избыточная масса тела и 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ожирене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. </w:t>
      </w:r>
    </w:p>
    <w:p w14:paraId="18AA04D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D892D4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Хотя </w:t>
      </w:r>
      <w:proofErr w:type="spellStart"/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немодифицируемые</w:t>
      </w:r>
      <w:proofErr w:type="spellEnd"/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 </w:t>
      </w:r>
      <w:proofErr w:type="gramStart"/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ФР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(возраст, пол и генетические особенности) коррекции не поддаются, однако их важно принимать во внимание для оценки прогноза индивидуального, группового и популяционного риска развития ХНИЗ.</w:t>
      </w:r>
    </w:p>
    <w:p w14:paraId="229A25CE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0EA907B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059A7E1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Рекомендации Всемирной организации Здравоохранения по здоровому образу жизни</w:t>
      </w:r>
      <w:r w:rsidRPr="00FF457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br/>
      </w:r>
    </w:p>
    <w:p w14:paraId="12E49E3D" w14:textId="39F1F519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lastRenderedPageBreak/>
        <w:t xml:space="preserve">Конкретные советы и положения, составлены на основе современных рекомендаций ВОЗ и профессиональных сообществ и направлены на формирование здорового образа жизни и снижение риска ХНИЗ среди взрослого населения. </w:t>
      </w:r>
    </w:p>
    <w:p w14:paraId="6797482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proofErr w:type="gram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Несомненно, что в понятие «здоровый образ жизни» входит более широкий спектр факторов образа жизни (здоровые семейные отношения, здоровая рабочая среда, здоровая экологическая обстановка, т.е. здоровый макро и микроклимат среды и пр.), однако эти вопросы выходят за рамка профилактического консультирования в ходе диспансеризации в соответствии с ее задачами.</w:t>
      </w:r>
      <w:proofErr w:type="gram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Тем не менее, при необходимости, эти факторы также могут приниматься во внимание при адресном консультировании пациентов.</w:t>
      </w:r>
    </w:p>
    <w:p w14:paraId="31B6D5C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proofErr w:type="gram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Таким образом, все граждане, прошедшие диспансеризацию должны получить адресные советы, основанные на принципах здорового образа жизни (здоровое питание, достаточная физическая активность, здоровые привычки и пр.), а при заболеваниях и других патологических состояниях, требующих индивидуального подхода, при проведении всех видов профилактического консультирования в рекомендациях необходимо учитывать наличие имеющихся патологических отклонений, диагноза заболевания и конкретные показатели здоровья пациента, особенно если даются рекомендации</w:t>
      </w:r>
      <w:proofErr w:type="gram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по питанию и физической активности.</w:t>
      </w:r>
    </w:p>
    <w:p w14:paraId="4E34318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</w:pPr>
    </w:p>
    <w:p w14:paraId="435DA42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/>
          <w:bCs/>
          <w:i/>
          <w:sz w:val="28"/>
          <w:szCs w:val="28"/>
          <w:lang w:eastAsia="zh-CN"/>
        </w:rPr>
        <w:t>Характеристика здорового образа жизни</w:t>
      </w:r>
    </w:p>
    <w:p w14:paraId="7A6FFD6E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1) Здоровое питание</w:t>
      </w:r>
    </w:p>
    <w:p w14:paraId="355A4FCF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Согласно рекомендациям ВОЗ, здоровое питание взрослых, относящееся преимущественно к лицам без ХНИЗ, включает:</w:t>
      </w:r>
    </w:p>
    <w:p w14:paraId="64B492EF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proofErr w:type="gram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- фрукты, овощи, бобовые (например, чечевицу, фасоль), орехи и цельные злаки (например, </w:t>
      </w:r>
      <w:proofErr w:type="spell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непереработанную</w:t>
      </w:r>
      <w:proofErr w:type="spell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кукурузу, просо, овес, пшеницу, нешлифованный рис);</w:t>
      </w:r>
      <w:proofErr w:type="gramEnd"/>
    </w:p>
    <w:p w14:paraId="7E75D9C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по меньшей мере, 400 г (5 порций) фруктов и овощей в день (не считая картофеля и других содержащих крахмал клубней);</w:t>
      </w:r>
    </w:p>
    <w:p w14:paraId="0A2F8F6B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менее 10% суммарной энергии за счет свободных сахаров, 5% за счет добавленного сахара, что эквивалентно 30 г (или примерно 6 чайным ложкам сахара, меда, варенья и т.п.) для человека со здоровой массой тела, потребляющего примерно 2000 калорий в день. Большинство свободных сахаров добавляются в пищевые продукты производителем, поваром или потребителем, могут также содержаться в виде естественного сахара в меде, сиропах, фруктовых соках и фруктовых концентратах, что важно учитывать;</w:t>
      </w:r>
    </w:p>
    <w:p w14:paraId="5D9DA84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proofErr w:type="gram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менее 30% суммарной энергии за счет жиров - предпочтительнее ненасыщенные жиры (например, содержащиеся в рыбе, авокадо, орехах, подсолнечном масле, оливковом масле), чем насыщенные жиры (например, содержащиеся в жирном мясе, сливочном масле, пальмовом и кокосовом масле, сливках, сыре, свином сале).</w:t>
      </w:r>
      <w:proofErr w:type="gram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</w:t>
      </w:r>
      <w:proofErr w:type="gram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В состав здорового рациона не должны входить промышленные транс-жиры (содержащиеся в переработанных пищевых продуктах, еде быстрого приготовления, закусочных пищевых продуктах, жареной еде, замороженных пиццах, пирогах, печенье, крекерах, чипсах, маргаринах и бутербродных смесях).</w:t>
      </w:r>
      <w:proofErr w:type="gramEnd"/>
    </w:p>
    <w:p w14:paraId="044E872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менее 5 г соли (что эквивалентно примерно одной чайной ложке) в день и использование йодированной соли.</w:t>
      </w:r>
    </w:p>
    <w:p w14:paraId="53A40D0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Рациональное питание</w:t>
      </w: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должно быть организовано таким образом, чтобы организм полностью удовлетворял потребности в энергии и во всех питательных веществах. </w:t>
      </w:r>
    </w:p>
    <w:p w14:paraId="5794BD4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lastRenderedPageBreak/>
        <w:t xml:space="preserve">Так как состав большинства продуктов питания известен, то можно составить баланс потребления основных нутриентов. Разнообразив рацион, </w:t>
      </w:r>
      <w:proofErr w:type="gram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возможно</w:t>
      </w:r>
      <w:proofErr w:type="gram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подобрать его так, чтобы он соответствовал принципам рационального питания. Он основан на разделении продуктов питания по цветам. </w:t>
      </w:r>
    </w:p>
    <w:p w14:paraId="002E30A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Цветовая схема напоминает светофор. Зеленым цветом изображаются продукты основного рациона, рекомендуемые к ежедневному употреблению, желтым – те, употребление которых надо ограничивать, красным – предпочтительно избегать. </w:t>
      </w:r>
    </w:p>
    <w:p w14:paraId="070E153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Графически данный подход изображают в виде «пирамиды питания»</w:t>
      </w:r>
    </w:p>
    <w:p w14:paraId="424FE96B" w14:textId="77777777" w:rsidR="000601DB" w:rsidRPr="00FF4579" w:rsidRDefault="000601DB" w:rsidP="00FF4579">
      <w:pPr>
        <w:spacing w:after="0" w:line="240" w:lineRule="auto"/>
        <w:ind w:firstLine="284"/>
        <w:jc w:val="center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Calibri" w:hAnsi="Times New Roman" w:cs="Times New Roman"/>
          <w:noProof/>
          <w:kern w:val="2"/>
          <w:sz w:val="28"/>
          <w:szCs w:val="28"/>
          <w:lang w:eastAsia="ru-RU"/>
          <w14:ligatures w14:val="standardContextual"/>
        </w:rPr>
        <w:drawing>
          <wp:inline distT="0" distB="0" distL="0" distR="0" wp14:anchorId="1FE88149" wp14:editId="35B4A1F7">
            <wp:extent cx="2867559" cy="2091919"/>
            <wp:effectExtent l="0" t="0" r="0" b="0"/>
            <wp:docPr id="14790987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098746" name=""/>
                    <pic:cNvPicPr/>
                  </pic:nvPicPr>
                  <pic:blipFill rotWithShape="1">
                    <a:blip r:embed="rId9"/>
                    <a:srcRect l="30380" t="35635" r="26470" b="83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750" cy="20920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BA9651" w14:textId="77777777" w:rsidR="000601DB" w:rsidRPr="00FF4579" w:rsidRDefault="000601DB" w:rsidP="00FF4579">
      <w:pPr>
        <w:spacing w:after="0" w:line="240" w:lineRule="auto"/>
        <w:ind w:firstLine="284"/>
        <w:jc w:val="center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14:paraId="27254D8F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Словесное описание пирамиды рационального питания формализовано в виде принципа «12 шагов к здоровому питанию» (ВОЗ, 2005). </w:t>
      </w:r>
    </w:p>
    <w:p w14:paraId="5D1D404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1. Необходимо употреблять как можно более разнообразные пищевые продукты, большинство из которых растительного происхождения. Пищевые продукты не должны вызывать развитие аллергии. </w:t>
      </w:r>
    </w:p>
    <w:p w14:paraId="463737F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2. Хлеб, изделия из круп должны употребляться несколько раз в день. </w:t>
      </w:r>
    </w:p>
    <w:p w14:paraId="4F6AA83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3. Ежедневно несколько раз в день следует употреблять свежие овощи и фрукты. Предпочтительнее выращенные в местности проживания. Суточное потребление овощей и фруктов должно быть не менее 400 г. </w:t>
      </w:r>
    </w:p>
    <w:p w14:paraId="49C51E2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4. Необходима умеренная физическая нагрузка, чтобы обеспечивать оптимальный обмен веществ. </w:t>
      </w:r>
    </w:p>
    <w:p w14:paraId="2A21960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5. Суточное потребление жира не должно превышать 30 %, при этом предпочтительнее жиры растительного происхождения. </w:t>
      </w:r>
    </w:p>
    <w:p w14:paraId="658573A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6. Необходимо заменять жирное мясо и мясные продукты на нежирное мясо, птицу, рыбу или бобовые. </w:t>
      </w:r>
    </w:p>
    <w:p w14:paraId="4BB33AE4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7. Необходимо употреблять молоко и молочные продукты с низким содержанием жира и соли. </w:t>
      </w:r>
    </w:p>
    <w:p w14:paraId="35E71984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8. Необходимо выбирать продукты с низким содержанием сахара. Нужно ограничивать потребление сахара и сладких напитков. </w:t>
      </w:r>
    </w:p>
    <w:p w14:paraId="7DCAAAE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9. Необходимо употреблять не более 1 чайной ложки (6 г) соли в день. Нужно заменять поваренную соль йодированной. </w:t>
      </w:r>
    </w:p>
    <w:p w14:paraId="630A4FFB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10. Необходимо ограничивать употребление алкоголя 20 г в пересчете на чистый спирт. </w:t>
      </w:r>
    </w:p>
    <w:p w14:paraId="1DAB2CB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11. Необходимо обеспечивать безопасность приготовления пищи. </w:t>
      </w:r>
    </w:p>
    <w:p w14:paraId="4ADF753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Пища должна готовиться с соблюдением санитарных норм. Нужно избегать жарки. Оптимальное приготовление – на пару, в микроволновой печи, варка. Приготовленная пища должна храниться в холодильнике, лучше – употребляться в свежем виде. </w:t>
      </w:r>
    </w:p>
    <w:p w14:paraId="799FDDA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lastRenderedPageBreak/>
        <w:t>12. Нужно обеспечивать грудное вскармливание новорожденных хотя бы до 6 мес., но не менее 4 мес.</w:t>
      </w:r>
    </w:p>
    <w:p w14:paraId="0507050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14:paraId="795850E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Практические советы по здоровому пищевому рациону:</w:t>
      </w:r>
    </w:p>
    <w:p w14:paraId="4C23AD3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Для увеличения потребления фруктов и овощей рекомендуется всегда включать в свои блюда овощи; употреблять на перекусы фрукты и сырые овощи; разнообразить фрукты и овощи и употреблять их по сезону.</w:t>
      </w:r>
    </w:p>
    <w:p w14:paraId="0FB8088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Потребление жиров можно сократить, изменив способ приготовления пищи (удалить жирную часть мяса, использовать растительное масло, отдавать предпочтение не жарению, а отвариванию, приготовлению на пару или запеканию); избегать обработанных пищевых продуктов, содержащих </w:t>
      </w:r>
      <w:proofErr w:type="spell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трансжиры</w:t>
      </w:r>
      <w:proofErr w:type="spell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; ограничить потребление продуктов с высоким содержанием насыщенных жиров (например, кондитерских изделий, мороженого, колбасных изделий).</w:t>
      </w:r>
    </w:p>
    <w:p w14:paraId="222C8AE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Потребление соли можно сократить, ограничивая соль, соевый соус во время приготовления пищи; не выставляя соль на стол; ограничивая потребление соленых закусочных продуктов; выбирая продукты с более низким содержанием натрия.</w:t>
      </w:r>
    </w:p>
    <w:p w14:paraId="21D866B4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Поступление в организм сахара можно сократить, ограничив потребление пищевых продуктов и напитков с высоким содержанием сахара (подслащенных напитков, пирожных и конфет); употребляя в пищу фрукты и сырые овощи и </w:t>
      </w:r>
      <w:proofErr w:type="gram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сухофрукты</w:t>
      </w:r>
      <w:proofErr w:type="gram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чтобы перекусить.</w:t>
      </w:r>
    </w:p>
    <w:p w14:paraId="05E8CB2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При наличии ХНИЗ питание является важнейшим профилактическим и лечебным фактором, рекомендации содержат ряд ограничений, что описании# в соответствующих разделах настоящих рекомендаций.</w:t>
      </w:r>
    </w:p>
    <w:p w14:paraId="4EC56C4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14:paraId="06D6ED7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2) Достаточная физическая активность</w:t>
      </w:r>
    </w:p>
    <w:p w14:paraId="7E604DEF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proofErr w:type="gram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Глобальные рекомендации ВОЗ по физической активности для здоровья адресованы дифференцированно по возрастным группам (для лиц без клинических противопоказаний, без основных ХНИЗ).</w:t>
      </w:r>
      <w:proofErr w:type="gramEnd"/>
    </w:p>
    <w:p w14:paraId="4F9ABF0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Так, для взрослых лиц в возрасте 18-64 лет физическая активность для здоровья предполагает оздоровительные упражнения или занятия в период досуга, подвижные виды активности (например, велосипед или пешие прогулки), профессиональную деятельность (т.е. работа), домашние дела, игры, состязания, спортивные или плановые занятия в рамках ежедневной деятельности, семьи и сообщества. В целях укрепления сердечно-легочной системы, костно-мышечных тканей, снижения риска ХНИЗ и депрессии рекомендуется следующая практика физической активности:</w:t>
      </w:r>
    </w:p>
    <w:p w14:paraId="7E9EB33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Взрослые люди в возрасте 18 - 64 лет должны уделять не менее 150 минут в неделю занятиям аэробикой средней интенсивности, или не менее 75 минут в неделю занятиям аэробикой высокой интенсивности, или аналогичному сочетанию физической активности средней и высокой интенсивности;</w:t>
      </w:r>
    </w:p>
    <w:p w14:paraId="294E897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proofErr w:type="gram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Каждое занятие аэробикой должно продолжаться не менее 10 минут;</w:t>
      </w:r>
      <w:proofErr w:type="gramEnd"/>
    </w:p>
    <w:p w14:paraId="44FB9814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Для того</w:t>
      </w:r>
      <w:proofErr w:type="gram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,</w:t>
      </w:r>
      <w:proofErr w:type="gram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чтобы получить дополнительные преимущества для здоровья, взрослые люди этой возрастной категории должны увеличить нагрузки своих занятий аэробикой средней интенсивности до 300 минут в неделю, или до 150 минут в неделю, если занимаются аэробикой высокой интенсивности, или аналогичное сочетание занятий аэробикой средней и высокой интенсивности;</w:t>
      </w:r>
    </w:p>
    <w:p w14:paraId="030623E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Силовым упражнениям, где задействованы основные группы мышц, следует посвящать 2 или более дней в неделю.</w:t>
      </w:r>
    </w:p>
    <w:p w14:paraId="1D9C8A0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lastRenderedPageBreak/>
        <w:t>Для взрослых 65 лет и старше физическая активность предполагает оздоровительные упражнения или занятия в период досуга, подвижные виды активности (например, велосипед или пешие прогулки), профессиональной деятельности (если человек продолжает работать), домашние дела, игры, состязания, спортивные или плановые занятия в рамках ежедневной деятельности, семьи и общины. В целях укрепления сердечно-легочной системы, костно-мышечных тканей, функционального состояния и снижения риска неинфекционных заболеваний, депрессии и нарушения когнитивных функций рекомендуется следующая практика физической активности:</w:t>
      </w:r>
    </w:p>
    <w:p w14:paraId="1967BCA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Взрослые люди в возрасте 65 лет и старше должны уделять не менее 150 минут в неделю занятиям аэробикой средней интенсивности, или не менее 75 минут в неделю занятиям аэробикой высокой интенсивности, или аналогичной физической активности средней и высокой интенсивности;</w:t>
      </w:r>
    </w:p>
    <w:p w14:paraId="3BBC630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Каждое занятие должно продолжаться не менее 10 минут;</w:t>
      </w:r>
    </w:p>
    <w:p w14:paraId="452FC4A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Для того</w:t>
      </w:r>
      <w:proofErr w:type="gram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,</w:t>
      </w:r>
      <w:proofErr w:type="gram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чтобы получить дополнительные преимущества для здоровья, взрослые люди этой возрастной категории должны увеличить нагрузки своих занятий аэробикой средней интенсивности до 300 минут в неделю, или до 150 минут в неделю, если занимаются аэробикой высокой интенсивности, или аналогичное сочетание занятий аэробикой средней и высокой интенсивности;</w:t>
      </w:r>
    </w:p>
    <w:p w14:paraId="549834F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Взрослые люди этой возрастной категории с проблемами суставов должны выполнять упражнения на равновесие, предотвращающие риск падений, 3 или более дней в неделю;</w:t>
      </w:r>
    </w:p>
    <w:p w14:paraId="6E3438E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Силовым упражнениям, где задействованы основные группы мышц, следует посвящать 2 или более дней в неделю;</w:t>
      </w:r>
    </w:p>
    <w:p w14:paraId="6477BB9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Если пожилые люди по состоянию своего здоровья не могут выполнять рекомендуемый объем физической активности, то они должны заниматься физическими упражнениями с учетом своих физических возможностей и состояния здоровья.</w:t>
      </w:r>
    </w:p>
    <w:p w14:paraId="6064DA1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В целом, преимущества выполнения вышеуказанных рекомендаций для всех возрастных групп, включая сам факт физических упражнений, превосходят недостатки. При рекомендуемом уровне физической активности средней интенсивности в объеме 150 минут в неделю практически не бывает травм опорно-двигательного аппарата. При подходе, ориентированном на разные группы населения, представляется целесообразным начинать с занятий средней интенсивности с постепенным увеличением нагрузок до более высоких уровней физической активности.</w:t>
      </w:r>
    </w:p>
    <w:p w14:paraId="180F615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Рекомендации по физической активности пациентам с ХНИЗ (</w:t>
      </w:r>
      <w:proofErr w:type="gram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сердечно-сосудистыми</w:t>
      </w:r>
      <w:proofErr w:type="gram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и цереброваскулярными заболеваниями атеросклеротического генеза, больным артериальной гипертонией, сахарным диабетом и хроническими заболеваниями бронхолегочной системы, почек), а также лицам с высоким и очень высоким абсолютным СС риском должны даваться строго индивидуально и определяться лечащим врачом с учетом всего </w:t>
      </w:r>
      <w:proofErr w:type="spell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симтомокомплекса</w:t>
      </w:r>
      <w:proofErr w:type="spell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показателей здоровья.</w:t>
      </w:r>
    </w:p>
    <w:p w14:paraId="211667A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</w:p>
    <w:p w14:paraId="73924C3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3) Отсутствие поведенческих факторов риска</w:t>
      </w: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- курения, риска пагубного потребления алкоголя, наркотиков и психотропных средств без назначения врача</w:t>
      </w:r>
    </w:p>
    <w:p w14:paraId="4E83248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lastRenderedPageBreak/>
        <w:t xml:space="preserve">Курение табака - один из наиболее опасных факторов риска </w:t>
      </w:r>
      <w:proofErr w:type="gram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сердечно-сосудистых</w:t>
      </w:r>
      <w:proofErr w:type="gram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, бронхолегочных, онкологических и других хронических заболеваний. Пассивное курение также вредно для здоровья, как и активное. Нет безопасных доз и безвредных форм потребления табака. Так называемые «легкие» и тонкие сигареты, электронные сигареты также вредны для здоровья и их нельзя </w:t>
      </w:r>
      <w:proofErr w:type="gram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рекомендовать</w:t>
      </w:r>
      <w:proofErr w:type="gram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как безопасный способ курения и, тем более, как средство отказа от курения.</w:t>
      </w:r>
    </w:p>
    <w:p w14:paraId="181C8E8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Объяснить опасность курения для здоровья данного пациента и что основная рекомендация - отказ от потребления табака.</w:t>
      </w:r>
    </w:p>
    <w:p w14:paraId="1A94C23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Объяснить, что отказ от курения будет полезен для здоровья в любом возрасте, вне зависимости от «стажа» курения.</w:t>
      </w:r>
    </w:p>
    <w:p w14:paraId="57EA698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Выяснить желание и готовность пациента и помочь в выборе тактики отказа от курения (самостоятельно или рекомендовать обратиться в кабинет по оказанию медицинской помощи при отказе от курения или отделение/кабинет медицинской профилактики, центр здоровья), дать информацию о режиме их работы.</w:t>
      </w:r>
    </w:p>
    <w:p w14:paraId="56E0365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При нежелании пациента бросить курить, повторить совет, дать памятку, рекомендовать обдумать целесообразность отказаться от курения и обратиться в кабинет по оказанию медицинской помощи при отказе от курения либо в отделение/кабинет медицинской профилактики, даже если он не до конца уверен в своих силах и в успехе.</w:t>
      </w:r>
    </w:p>
    <w:p w14:paraId="7290911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Риск пагубного потребления алкоголя. Информировать пациента о том, что у него имеется риск пагубного потребления алкоголя и о негативном влиянии алкоголя на здоровье. Более результативно проводить при этом факторе риска углубленное профилактическое консультирование, которое позволит получить информацию об отношении пациента к потреблению алкоголя, понимании вреда и готовности к изменениям (оздоровлению) привычки потребления алкоголя. При подозрении на наличие у пациента зависимости посоветовать обратиться за помощью к наркологу. Дать памятку.</w:t>
      </w:r>
    </w:p>
    <w:p w14:paraId="2F1A62F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Подозрения на пагубное потребление наркотиков и психотропных средств без назначения врача. Информировать пациента о выявленном факторе риска, оценить отношение пациента к потреблению наркотиков, стараться мотивировать к отказу, рекомендовать обратиться к наркологу, дать конкретную информацию о консультации врача-нарколога (кто, где, когда консультирует).</w:t>
      </w:r>
    </w:p>
    <w:p w14:paraId="2253684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74D4881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Характеристика здорового питания (Рекомендации Европейского общества кардиологов - 2016 г.)</w:t>
      </w:r>
    </w:p>
    <w:p w14:paraId="1875D6D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Насыщенные жирные кислоты &lt;10% от общего потребления энергии, замена их на полиненасыщенные жирные кислоты;</w:t>
      </w:r>
    </w:p>
    <w:p w14:paraId="7BBEB82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- Как можно меньше </w:t>
      </w:r>
      <w:proofErr w:type="gram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транс-жирных</w:t>
      </w:r>
      <w:proofErr w:type="gram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кислот (&lt;1 % от общего потребления энергии);</w:t>
      </w:r>
    </w:p>
    <w:p w14:paraId="5EABEB7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Поваренная соль &lt;5г. в день;</w:t>
      </w:r>
    </w:p>
    <w:p w14:paraId="0475F82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- Клетчатка 30-45 г в день, предпочтительно от </w:t>
      </w:r>
      <w:proofErr w:type="spell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цельнозерновых</w:t>
      </w:r>
      <w:proofErr w:type="spell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продуктов.</w:t>
      </w:r>
    </w:p>
    <w:p w14:paraId="3CBD863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 </w:t>
      </w:r>
      <w:r w:rsidRPr="00FF4579">
        <w:rPr>
          <w:rFonts w:ascii="Times New Roman" w:eastAsia="SimSu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6DB64F67" wp14:editId="061117FC">
            <wp:extent cx="133350" cy="161925"/>
            <wp:effectExtent l="0" t="0" r="0" b="9525"/>
            <wp:docPr id="20" name="Рисунок 20" descr="https://www.garant.ru/files/1/3/1315331/pict27-729369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garant.ru/files/1/3/1315331/pict27-7293699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 200 г фруктов в день (2-3 порции);</w:t>
      </w:r>
    </w:p>
    <w:p w14:paraId="4DD2157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 </w:t>
      </w:r>
      <w:r w:rsidRPr="00FF4579">
        <w:rPr>
          <w:rFonts w:ascii="Times New Roman" w:eastAsia="SimSu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58D1D1DF" wp14:editId="046D421D">
            <wp:extent cx="133350" cy="161925"/>
            <wp:effectExtent l="0" t="0" r="0" b="9525"/>
            <wp:docPr id="19" name="Рисунок 19" descr="https://www.garant.ru/files/1/3/1315331/pict28-729369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garant.ru/files/1/3/1315331/pict28-7293699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 200 г овощей в день (2-3 порции);</w:t>
      </w:r>
    </w:p>
    <w:p w14:paraId="0F8D4B6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Рыба 1 -2 раза в неделю, причем хотя бы один раз это должна быть рыба была жирных сортов;</w:t>
      </w:r>
    </w:p>
    <w:p w14:paraId="3A92362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- 30 г несоленых орехов в день.</w:t>
      </w:r>
    </w:p>
    <w:p w14:paraId="1633AB64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742EA8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Краткие рекомендации по коррекции факторов</w:t>
      </w:r>
    </w:p>
    <w:p w14:paraId="3D2C16A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lastRenderedPageBreak/>
        <w:t>Питание:</w:t>
      </w:r>
    </w:p>
    <w:p w14:paraId="5F6E0E2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- ограничение потребления: поваренной соли (не более 5 г в сутки - 1 чайная ложка без верха); «добавленных» сахаров в виде сахара, варенья, джемов, в составе сладких напитков - до 30г в сутки; </w:t>
      </w:r>
      <w:proofErr w:type="gram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жира до 30% и менее от суточной калорийности (в основном за счет животных жиров с частичной заменой на растительные жиры) и за счет уменьшения потребления продуктов, богатых животными жирами и холестерином (колбасные изделия, жирное мясо, птица с кожей, цельные молочные продукты, жирные сорта сыра, желтки яиц и сами жиры «в чистом виде» - сало, масло сливочное, маргарины, кокосовое, пальмовое масло). </w:t>
      </w:r>
      <w:proofErr w:type="gramEnd"/>
    </w:p>
    <w:p w14:paraId="1C2220A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Рекомендации особенно важны </w:t>
      </w:r>
      <w:proofErr w:type="gram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при</w:t>
      </w:r>
      <w:proofErr w:type="gram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сопутствующей дислипидемии. </w:t>
      </w:r>
    </w:p>
    <w:p w14:paraId="644B4D6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Животные жиры должны составлять не более половины суточной потребности в жирах - около 25-30 г/</w:t>
      </w:r>
      <w:proofErr w:type="spell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сут</w:t>
      </w:r>
      <w:proofErr w:type="spell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. </w:t>
      </w:r>
    </w:p>
    <w:p w14:paraId="37E5651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Остальные 25-30 г - восполняется за счет растительных жиров, богатых полиненасыщенными и мононенасыщенными жирными кислотами, желательно нерафинированных и без термической обработки.</w:t>
      </w:r>
    </w:p>
    <w:p w14:paraId="7664538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- рекомендуется потребление не менее 2 раз в неделю рыбы, желательно 1 раз жирной морской рыбы по 100-150 г в виде различных блюд; ежедневно 400-500 грамм фруктов и овощей (не считая картофеля); </w:t>
      </w:r>
    </w:p>
    <w:p w14:paraId="01E4A3DB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предпочтительное потребление </w:t>
      </w:r>
      <w:proofErr w:type="spellStart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цельнозерновых</w:t>
      </w:r>
      <w:proofErr w:type="spellEnd"/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продуктов (хлеб, крупы). </w:t>
      </w:r>
    </w:p>
    <w:p w14:paraId="3B6EC55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Полезны растворимые пищевые волокна - пектины, которые связывают в кишечнике часть холестерина и выводят его из организма.</w:t>
      </w:r>
    </w:p>
    <w:p w14:paraId="2394E6E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рекомендуется разнообразить рацион (способствует сбалансированности), противопоказаны односторонние несбалансированные рационы и диеты. Объяснить опасность снижения избыточной массы тела путем применения различных «модных» диет, особенно голодания.</w:t>
      </w:r>
    </w:p>
    <w:p w14:paraId="226B366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i/>
          <w:iCs/>
          <w:sz w:val="28"/>
          <w:szCs w:val="28"/>
          <w:u w:val="single"/>
          <w:lang w:eastAsia="zh-CN"/>
        </w:rPr>
      </w:pPr>
      <w:r w:rsidRPr="00FF4579">
        <w:rPr>
          <w:rFonts w:ascii="Times New Roman" w:eastAsia="SimSun" w:hAnsi="Times New Roman" w:cs="Times New Roman"/>
          <w:bCs/>
          <w:i/>
          <w:iCs/>
          <w:sz w:val="28"/>
          <w:szCs w:val="28"/>
          <w:u w:val="single"/>
          <w:lang w:eastAsia="zh-CN"/>
        </w:rPr>
        <w:t>Физическая активность:</w:t>
      </w:r>
    </w:p>
    <w:p w14:paraId="0612413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информировать пациента о том, что физическая активность, минимально необходимая для поддержания здоровья - это ходьба в умеренном темпе не менее 30 минут в день большинство дней в неделю, дифференцированно по возрасту.</w:t>
      </w:r>
    </w:p>
    <w:p w14:paraId="055CBF3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i/>
          <w:iCs/>
          <w:sz w:val="28"/>
          <w:szCs w:val="28"/>
          <w:u w:val="single"/>
          <w:lang w:eastAsia="zh-CN"/>
        </w:rPr>
      </w:pPr>
      <w:r w:rsidRPr="00FF4579">
        <w:rPr>
          <w:rFonts w:ascii="Times New Roman" w:eastAsia="SimSun" w:hAnsi="Times New Roman" w:cs="Times New Roman"/>
          <w:bCs/>
          <w:i/>
          <w:iCs/>
          <w:sz w:val="28"/>
          <w:szCs w:val="28"/>
          <w:u w:val="single"/>
          <w:lang w:eastAsia="zh-CN"/>
        </w:rPr>
        <w:t>Поведенческие факторы риска:</w:t>
      </w:r>
    </w:p>
    <w:p w14:paraId="52213BF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риск пагубного потребления алкоголя - информировать пациента об имеющемся факторе риска и мотивировать его пройти углубленное профилактическое консультирование (2 этап диспансеризации).</w:t>
      </w:r>
    </w:p>
    <w:p w14:paraId="60070E8F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SimSun" w:hAnsi="Times New Roman" w:cs="Times New Roman"/>
          <w:bCs/>
          <w:sz w:val="28"/>
          <w:szCs w:val="28"/>
          <w:lang w:eastAsia="zh-CN"/>
        </w:rPr>
      </w:pPr>
      <w:r w:rsidRPr="00FF457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- При подозрении на пагубное потребление наркотиков и психотропных средств - информировать пациента о выявленном факторе риска, оценить отношение пациента к потреблению наркотиков, стараться мотивировать к отказу, рекомендовать обратиться к наркологу, дать конкретную информацию о консультации врача-нарколога (кто, где, когда консультирует).</w:t>
      </w:r>
    </w:p>
    <w:p w14:paraId="09C65FE4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A595C7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713BE76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Гигиеническое воспитание и обучение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граждан обязательны, направлены на повышение их санитарной культуры, профилактику заболеваний и распространение знаний о здоровом образе жизни.</w:t>
      </w:r>
    </w:p>
    <w:p w14:paraId="2229A63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32DAB4F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  <w:r w:rsidRPr="00FF4579"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>Гигиеническое воспитание и обучение граждан осуществляются:</w:t>
      </w:r>
    </w:p>
    <w:p w14:paraId="0B5C7265" w14:textId="77777777" w:rsidR="000601DB" w:rsidRPr="00FF4579" w:rsidRDefault="000601DB" w:rsidP="00FF4579">
      <w:pPr>
        <w:numPr>
          <w:ilvl w:val="0"/>
          <w:numId w:val="36"/>
        </w:numPr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в процессе воспитания и обучения в дошкольных и других образовательных организациях;</w:t>
      </w:r>
    </w:p>
    <w:p w14:paraId="749D554B" w14:textId="77777777" w:rsidR="000601DB" w:rsidRPr="00FF4579" w:rsidRDefault="000601DB" w:rsidP="00FF4579">
      <w:pPr>
        <w:numPr>
          <w:ilvl w:val="0"/>
          <w:numId w:val="36"/>
        </w:numPr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>при получении профессионального образования или дополнительного профессионального образования посредством включения в образовательные программы разделов о гигиенических знаниях;</w:t>
      </w:r>
    </w:p>
    <w:p w14:paraId="52DE1ED2" w14:textId="77777777" w:rsidR="000601DB" w:rsidRPr="00FF4579" w:rsidRDefault="000601DB" w:rsidP="00FF4579">
      <w:pPr>
        <w:numPr>
          <w:ilvl w:val="0"/>
          <w:numId w:val="36"/>
        </w:numPr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при профессиональной гигиенической подготовке и аттестации должностных лиц и работников организаций, деятельность которых связана с производством, хранением, транспортировкой и реализацией пищевых продуктов и питьевой воды, воспитанием и обучением детей, коммунальным и бытовым обслуживанием населения.</w:t>
      </w:r>
    </w:p>
    <w:p w14:paraId="2E5152CE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00E26DA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В целях формирования санитарно-гигиенической культуры в обществе и мотивации граждан к здоровому образу жизни проводится санитарно-гигиеническое просвещение населения посредством распространения знаний, необходимых для формирования здорового образа жизни, включая здоровое питание и отказ от вредных привычек, профилактики заболеваний, сохранения и укрепления здоровья, знаний по иным вопросам обеспечения санитарно-эпидемиологического благополучия населения, в том числе с использованием средств массовой информации, информационно-телекоммуникационной сети "Интернет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", печатной продукции (памяток, буклетов, плакатов и другой), социальной рекламы, а также при проведении мероприятий в организованных коллективах, индивидуальных консультаций граждан.</w:t>
      </w:r>
    </w:p>
    <w:p w14:paraId="09943CD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6EFA46F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Санитарно-гигиеническое просвещение населения проводится органами и организациями, указанными в статье 46 настоящего Федерального закона, медицинскими организациями, в том числе с участием исполнительных органов субъектов Российской Федерации и органов местного самоуправления.</w:t>
      </w:r>
    </w:p>
    <w:p w14:paraId="0283F38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B216E6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Социально ориентированные некоммерческие организации и добровольческие (волонтерские) организации, осуществляющие в соответствии с учредительными документами деятельность в сфере профилактики и охраны здоровья граждан, пропаганды здорового образа жизни, содействуют санитарно-гигиеническому просвещению населения.</w:t>
      </w:r>
    </w:p>
    <w:p w14:paraId="6C9508A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2C7A9DDE" w14:textId="77777777" w:rsidR="000601DB" w:rsidRPr="00FF4579" w:rsidRDefault="000601DB" w:rsidP="00FF4579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Формы, методы и средства гигиенического обучения и воспитания населения</w:t>
      </w:r>
    </w:p>
    <w:p w14:paraId="770714C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5B4186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Санитарно-просветительная работа – это комплекс мероприятий по пропаганде медицинских знаний среди населения. </w:t>
      </w:r>
    </w:p>
    <w:p w14:paraId="49196E5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Целью санитарно-просветительской работы среди населения является формирование знаний и умений самостоятельно принимать решения по вопросам, касающимся сохранения и укрепления здоровья. </w:t>
      </w:r>
    </w:p>
    <w:p w14:paraId="6FAB565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Гигиеническое воспитание по первичной профилактике неинфекционных заболеваний включает сведения о факторах риска, а в случае первичной профилактике инфекционных заболеваний - сведения о биологических особенностях возбудителя. </w:t>
      </w:r>
    </w:p>
    <w:p w14:paraId="1B1C848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Санитарное просвещение в стационаре является вторичной профилактикой. Работа по гигиеническому воспитанию в стационаре направлена на пациента, </w:t>
      </w: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находящихся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в стационаре в данный момент. </w:t>
      </w:r>
    </w:p>
    <w:p w14:paraId="3013F93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Важно заметить, что санитарное просвещение родителей должно начинаться еще до рождения ребенка. И в дальнейшем именно родители должны прививать гигиенические навыки детям. </w:t>
      </w:r>
    </w:p>
    <w:p w14:paraId="094BACB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Необходимо заметить, что обязательному гигиеническому обучению подлежат работники образовательной организации, занимающейся воспитанием и обучением детей, специалисты, деятельность которых связана с пищевыми продуктами, воспитанием и обучением детей, коммунальным обслуживанием населения. </w:t>
      </w:r>
    </w:p>
    <w:p w14:paraId="372D88C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Методы гигиенического воспитания – это способы управления познавательной и практической деятельностью человека, направленные на формирование гигиенической культуры, позитивного в отношении здоровья стиля жизни</w:t>
      </w:r>
    </w:p>
    <w:p w14:paraId="68E4F8C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  <w:r w:rsidRPr="00FF4579"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 xml:space="preserve">Методы гигиенического обучения и воспитания можно разделить на 4 основные группы </w:t>
      </w:r>
    </w:p>
    <w:p w14:paraId="3328FD3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метод устной пропаганды; </w:t>
      </w:r>
    </w:p>
    <w:p w14:paraId="46877B7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метод печатной пропаганды; </w:t>
      </w:r>
    </w:p>
    <w:p w14:paraId="5698D64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метод изобразительной пропаганды (наглядной); </w:t>
      </w:r>
    </w:p>
    <w:p w14:paraId="40605AC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комбинированный (смешанный, аудиовизуальный) метод </w:t>
      </w:r>
    </w:p>
    <w:p w14:paraId="4B872BA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BA1A73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  <w:r w:rsidRPr="00FF4579"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 xml:space="preserve">Средства гигиенического воспитания </w:t>
      </w:r>
    </w:p>
    <w:p w14:paraId="2397C544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– это способы реализации метода, основанные на речи, изображении, действии, а также реальные предметы, имеющие отношение к гигиеническому воспитанию </w:t>
      </w: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1813"/>
        <w:gridCol w:w="8869"/>
      </w:tblGrid>
      <w:tr w:rsidR="000601DB" w:rsidRPr="00FF4579" w14:paraId="32AEEB8B" w14:textId="77777777" w:rsidTr="00304CA8">
        <w:tc>
          <w:tcPr>
            <w:tcW w:w="1526" w:type="dxa"/>
          </w:tcPr>
          <w:p w14:paraId="1077799A" w14:textId="77777777" w:rsidR="000601DB" w:rsidRPr="00FF4579" w:rsidRDefault="000601DB" w:rsidP="00FF457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FF457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Методы</w:t>
            </w:r>
          </w:p>
        </w:tc>
        <w:tc>
          <w:tcPr>
            <w:tcW w:w="9156" w:type="dxa"/>
          </w:tcPr>
          <w:p w14:paraId="5280CFC0" w14:textId="77777777" w:rsidR="000601DB" w:rsidRPr="00FF4579" w:rsidRDefault="000601DB" w:rsidP="00FF4579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FF457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Средства</w:t>
            </w:r>
          </w:p>
        </w:tc>
      </w:tr>
      <w:tr w:rsidR="000601DB" w:rsidRPr="00FF4579" w14:paraId="58D6A438" w14:textId="77777777" w:rsidTr="00304CA8">
        <w:tc>
          <w:tcPr>
            <w:tcW w:w="1526" w:type="dxa"/>
          </w:tcPr>
          <w:p w14:paraId="7B8EF175" w14:textId="77777777" w:rsidR="000601DB" w:rsidRPr="00FF4579" w:rsidRDefault="000601DB" w:rsidP="00FF4579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FF457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Устный</w:t>
            </w:r>
          </w:p>
        </w:tc>
        <w:tc>
          <w:tcPr>
            <w:tcW w:w="9156" w:type="dxa"/>
          </w:tcPr>
          <w:p w14:paraId="35D21E06" w14:textId="77777777" w:rsidR="000601DB" w:rsidRPr="00FF4579" w:rsidRDefault="000601DB" w:rsidP="00FF457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457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Лекция, беседа, дискуссия, вечер вопросов и ответов </w:t>
            </w:r>
          </w:p>
        </w:tc>
      </w:tr>
      <w:tr w:rsidR="000601DB" w:rsidRPr="00FF4579" w14:paraId="0709DCD6" w14:textId="77777777" w:rsidTr="00304CA8">
        <w:tc>
          <w:tcPr>
            <w:tcW w:w="1526" w:type="dxa"/>
          </w:tcPr>
          <w:p w14:paraId="3D66E298" w14:textId="77777777" w:rsidR="000601DB" w:rsidRPr="00FF4579" w:rsidRDefault="000601DB" w:rsidP="00FF4579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FF457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Печатный</w:t>
            </w:r>
          </w:p>
        </w:tc>
        <w:tc>
          <w:tcPr>
            <w:tcW w:w="9156" w:type="dxa"/>
          </w:tcPr>
          <w:p w14:paraId="2F0FAA6D" w14:textId="77777777" w:rsidR="000601DB" w:rsidRPr="00FF4579" w:rsidRDefault="000601DB" w:rsidP="00FF457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457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Памятка, листовка, статья в газете, доска вопросов и ответов, книга, брошюра, стенная санитарная печать </w:t>
            </w:r>
          </w:p>
        </w:tc>
      </w:tr>
      <w:tr w:rsidR="000601DB" w:rsidRPr="00FF4579" w14:paraId="72544B06" w14:textId="77777777" w:rsidTr="00304CA8">
        <w:tc>
          <w:tcPr>
            <w:tcW w:w="1526" w:type="dxa"/>
          </w:tcPr>
          <w:p w14:paraId="2069AAED" w14:textId="77777777" w:rsidR="000601DB" w:rsidRPr="00FF4579" w:rsidRDefault="000601DB" w:rsidP="00FF4579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FF457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Наглядный</w:t>
            </w:r>
          </w:p>
        </w:tc>
        <w:tc>
          <w:tcPr>
            <w:tcW w:w="9156" w:type="dxa"/>
          </w:tcPr>
          <w:p w14:paraId="10CF0DE2" w14:textId="77777777" w:rsidR="000601DB" w:rsidRPr="00FF4579" w:rsidRDefault="000601DB" w:rsidP="00FF457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F457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Слайды, видеофильмы, натуральные объекты, муляжи, фотографии </w:t>
            </w:r>
          </w:p>
        </w:tc>
      </w:tr>
      <w:tr w:rsidR="000601DB" w:rsidRPr="00FF4579" w14:paraId="67DC31B5" w14:textId="77777777" w:rsidTr="00304CA8">
        <w:tc>
          <w:tcPr>
            <w:tcW w:w="1526" w:type="dxa"/>
          </w:tcPr>
          <w:p w14:paraId="26CF20AA" w14:textId="77777777" w:rsidR="000601DB" w:rsidRPr="00FF4579" w:rsidRDefault="000601DB" w:rsidP="00FF4579">
            <w:pPr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FF457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Смешанный</w:t>
            </w:r>
          </w:p>
        </w:tc>
        <w:tc>
          <w:tcPr>
            <w:tcW w:w="9156" w:type="dxa"/>
          </w:tcPr>
          <w:p w14:paraId="7324DA6B" w14:textId="77777777" w:rsidR="000601DB" w:rsidRPr="00FF4579" w:rsidRDefault="000601DB" w:rsidP="00FF457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FF4579">
              <w:rPr>
                <w:rFonts w:ascii="Times New Roman" w:eastAsia="Calibri" w:hAnsi="Times New Roman" w:cs="Times New Roman"/>
                <w:sz w:val="28"/>
                <w:szCs w:val="28"/>
              </w:rPr>
              <w:t>Телепрограмма, кинофильмы, выставки (стационарные и передвижные), уголки здоровья, школы здоровья, уроки здоровья, ярмарки здоровья, дни здоровья</w:t>
            </w:r>
            <w:proofErr w:type="gramEnd"/>
          </w:p>
        </w:tc>
      </w:tr>
    </w:tbl>
    <w:p w14:paraId="056BC9E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32D0134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К средствам устной пропаганды относятся средства, при использовании которых имеется непосредственный контакт с аудиторией (лекция, беседа, вечер вопросов и ответов, диспут, выступление) и средства, при использовании которых непосредственный контакт с аудиторией отсутствует (радиовыступление, выступление по телевидению, запись выступлений, лекций на диске, запись вебинара). </w:t>
      </w:r>
    </w:p>
    <w:p w14:paraId="4093E56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  <w:r w:rsidRPr="00FF4579"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 xml:space="preserve">Средства метода изобразительной (наглядной) пропаганды подразделяются на несколько групп: </w:t>
      </w:r>
    </w:p>
    <w:p w14:paraId="04D4A57F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плоскостные средства (плакат, рисунок, фотографии, диафильмы, слайды, видеофильмы); </w:t>
      </w:r>
    </w:p>
    <w:p w14:paraId="6CDD9D0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объемные средства (муляж, макет, модель, фантом, скульптура); </w:t>
      </w:r>
    </w:p>
    <w:p w14:paraId="0CDDEF9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натуральные объекты (макропрепарат, микропрепарат, образцы растительного, животного мира, изделия, продукты и др.); − комбинированные средства (выставка, театр, кукольный театр, агитационная бригада). </w:t>
      </w:r>
      <w:proofErr w:type="gramEnd"/>
    </w:p>
    <w:p w14:paraId="393DF40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8C7D83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Применяя различные средства гигиенического обучения, медицинские работники должны знать, что степень усвоения информации зависит от их психологической эффективности: </w:t>
      </w:r>
    </w:p>
    <w:p w14:paraId="45BF3CE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MS Gothic" w:eastAsia="MS Gothic" w:hAnsi="MS Gothic" w:cs="MS Gothic" w:hint="eastAsia"/>
          <w:kern w:val="2"/>
          <w:sz w:val="28"/>
          <w:szCs w:val="28"/>
          <w14:ligatures w14:val="standardContextual"/>
        </w:rPr>
        <w:t>✓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5% - лекция; </w:t>
      </w:r>
    </w:p>
    <w:p w14:paraId="5490523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MS Gothic" w:eastAsia="MS Gothic" w:hAnsi="MS Gothic" w:cs="MS Gothic" w:hint="eastAsia"/>
          <w:kern w:val="2"/>
          <w:sz w:val="28"/>
          <w:szCs w:val="28"/>
          <w14:ligatures w14:val="standardContextual"/>
        </w:rPr>
        <w:t>✓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10% - чтение; </w:t>
      </w:r>
    </w:p>
    <w:p w14:paraId="3FAF023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MS Gothic" w:eastAsia="MS Gothic" w:hAnsi="MS Gothic" w:cs="MS Gothic" w:hint="eastAsia"/>
          <w:kern w:val="2"/>
          <w:sz w:val="28"/>
          <w:szCs w:val="28"/>
          <w14:ligatures w14:val="standardContextual"/>
        </w:rPr>
        <w:t>✓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20% - аудиовизуальные средства; </w:t>
      </w:r>
    </w:p>
    <w:p w14:paraId="37F3CF1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MS Gothic" w:eastAsia="MS Gothic" w:hAnsi="MS Gothic" w:cs="MS Gothic" w:hint="eastAsia"/>
          <w:kern w:val="2"/>
          <w:sz w:val="28"/>
          <w:szCs w:val="28"/>
          <w14:ligatures w14:val="standardContextual"/>
        </w:rPr>
        <w:t>✓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30% - использование наглядных пособий; </w:t>
      </w:r>
    </w:p>
    <w:p w14:paraId="1F5C958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MS Gothic" w:eastAsia="MS Gothic" w:hAnsi="MS Gothic" w:cs="MS Gothic" w:hint="eastAsia"/>
          <w:kern w:val="2"/>
          <w:sz w:val="28"/>
          <w:szCs w:val="28"/>
          <w14:ligatures w14:val="standardContextual"/>
        </w:rPr>
        <w:lastRenderedPageBreak/>
        <w:t>✓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50% - обсуждение в группах; </w:t>
      </w:r>
    </w:p>
    <w:p w14:paraId="3DE10C4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MS Gothic" w:eastAsia="MS Gothic" w:hAnsi="MS Gothic" w:cs="MS Gothic" w:hint="eastAsia"/>
          <w:kern w:val="2"/>
          <w:sz w:val="28"/>
          <w:szCs w:val="28"/>
          <w14:ligatures w14:val="standardContextual"/>
        </w:rPr>
        <w:t>✓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70% - обучение практикой действия; </w:t>
      </w:r>
    </w:p>
    <w:p w14:paraId="7DA1988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proofErr w:type="gramStart"/>
      <w:r w:rsidRPr="00FF4579">
        <w:rPr>
          <w:rFonts w:ascii="MS Gothic" w:eastAsia="MS Gothic" w:hAnsi="MS Gothic" w:cs="MS Gothic" w:hint="eastAsia"/>
          <w:kern w:val="2"/>
          <w:sz w:val="28"/>
          <w:szCs w:val="28"/>
          <w14:ligatures w14:val="standardContextual"/>
        </w:rPr>
        <w:t>✓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90% - выступление в роли обучающего.</w:t>
      </w:r>
      <w:proofErr w:type="gramEnd"/>
    </w:p>
    <w:p w14:paraId="3B66240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87FF8A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Формы гигиенического воспитания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представляют собой способы применения отдельного средства или совокупности средств в определенной последовательности </w:t>
      </w:r>
    </w:p>
    <w:p w14:paraId="4072102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</w:p>
    <w:p w14:paraId="72E295EF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>Формы гигиенического обучения и воспитания классифицируют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: </w:t>
      </w:r>
    </w:p>
    <w:p w14:paraId="799EF5FF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1) в зависимости от периодичности проведения мероприятий:</w:t>
      </w:r>
    </w:p>
    <w:p w14:paraId="6250215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цикловые – объединенные одной целью и применяемые в определенной логической последовательности (лектории, школы здоровья, кружки, кинолектории и др.); </w:t>
      </w:r>
    </w:p>
    <w:p w14:paraId="371CABA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эпизодические – отдельно взятые мероприятия (выступление на родительском собрании, телефонное консультирование, демонстрация фильма). </w:t>
      </w:r>
    </w:p>
    <w:p w14:paraId="61F1E85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2) по форме восприятия информации: </w:t>
      </w:r>
    </w:p>
    <w:p w14:paraId="186BB7D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пассивные (односторонние) – представляющие собой монолог специалиста и основаны на пассивном восприятии информации обучаемыми (доклад, сообщение, лекция и т.п.); </w:t>
      </w:r>
    </w:p>
    <w:p w14:paraId="777953B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</w:t>
      </w: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активные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(двусторонние) – предусматривают активное участие обучающихся в обсуждении и поиске решений (дискуссия, викторина и т.п.). </w:t>
      </w:r>
    </w:p>
    <w:p w14:paraId="048DFA7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3) по охвату населения: </w:t>
      </w:r>
    </w:p>
    <w:p w14:paraId="55CF40E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</w:t>
      </w: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массовые формы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характеризуются общением между специалистом и большим количеством пациентов (не менее 25 человек) и используются для формирования общественного мнения и ответственного отношения к здоровью, широкого информирования общественности о состоянии среды обитания и здоровья населения (работа со СМИ (радио- и телепередачи, демонстрация кинофильмов и изобразительных средств, публикации в прессе, работа с интернет источниками, пресс-конференции и заседания «круглого стола», брифинги, форумы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 «</w:t>
      </w: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прямые линии», сообщения для СМИ), телефонное консультирование с помощью автоответчика, издательская деятельность (памятки, буклеты, листовки, плакаты, лозунги), организация дней открытой информации, выставок (экспонирование), массовых акций, </w:t>
      </w:r>
      <w:proofErr w:type="gramEnd"/>
    </w:p>
    <w:p w14:paraId="0AF91624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Единых дней здоровья, олимпиад здоровья, проведения социологических исследований, конференций и съездов по вопросам сохранения здоровья и профилактики заболеваний, а также тестирование, анкетирование, опрос, викторина, игра, конкурс. </w:t>
      </w:r>
    </w:p>
    <w:p w14:paraId="10D3161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</w:t>
      </w: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групповые формы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работы характеризуются общением специалиста с группой пациентов до 25 человек и применяются для дифференцированного гигиенического воспитания отдельных целевых групп населения (школы здоровья, лекции, беседы, семинары, тренинги, дискуссии, «круглый» стол, вечера вопросов и ответов, деловая игра, клуб здоровья, практическое занятие, урок, демонстрация фильмов и театрализованная постановка для группы лиц, тестирование, анкетирование, опрос, викторина, конкурс, очно-заочное курсовое гигиеническое обучение специалистов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, </w:t>
      </w: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деятельность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которых связана с пищевыми продуктами, воспитанием и обучением детей, коммунальным обслуживанием населения и др.). </w:t>
      </w:r>
    </w:p>
    <w:p w14:paraId="0D03D80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</w:t>
      </w: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индивидуальные формы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характеризуются общением между специалистом и пациентом - беседа, инструктаж, консультация очная или по телефону («горячая» линия, телефон доверия, телефонная справка), личная корреспонденция (на бумажном 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носителе или 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on-line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, в том числе и вопрос-ответ), индивидуальная отработка практических умений, очно-заочное индивидуальное обучение, индивидуальный просмотр фильмов или работа с литературой с дальнейшим обсуждением и др. 2. </w:t>
      </w:r>
      <w:proofErr w:type="gramEnd"/>
    </w:p>
    <w:p w14:paraId="67839D0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3F2BBB2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bCs/>
          <w:i/>
          <w:iCs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i/>
          <w:iCs/>
          <w:kern w:val="2"/>
          <w:sz w:val="28"/>
          <w:szCs w:val="28"/>
          <w14:ligatures w14:val="standardContextual"/>
        </w:rPr>
        <w:t xml:space="preserve">Требования к разработке обучающих материалов и проведению санитарно-гигиенического обучения населения </w:t>
      </w:r>
    </w:p>
    <w:p w14:paraId="0BB7CE6B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К обучающим и информационным материалам относятся санбюллетень, памятки, брошюры, постеры, плакаты, листовки, </w:t>
      </w: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слайд-презентации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, видеоматериалы, публикации в социальных сетях. </w:t>
      </w:r>
    </w:p>
    <w:p w14:paraId="25768D0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При разработке любых информационных материалов используются только профилактические рекомендации (нельзя упоминать названия, использовать изображения лекарственных препаратов, БАД, кроме названия вакцин) </w:t>
      </w:r>
    </w:p>
    <w:p w14:paraId="500D1B2F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При разработке печатных материалов (памятки, листовки, брошюры) важно придерживаться следующих правил: </w:t>
      </w:r>
    </w:p>
    <w:p w14:paraId="21D8CB8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Достаточно крупный шрифт (12 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пт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) без засечек (не используем 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Times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New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Roman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, рекомендуется 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Calibri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, 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Arial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, 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Tahoma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, 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Verdana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proofErr w:type="gramEnd"/>
    </w:p>
    <w:p w14:paraId="150460F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Слово «памятка» в названии нежелательно использовать </w:t>
      </w:r>
    </w:p>
    <w:p w14:paraId="6407DD2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Наличие информативных иллюстраций </w:t>
      </w:r>
    </w:p>
    <w:p w14:paraId="1CBC3F0B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Отсутствие заливки фона (нужен контраст между темными буквами и белым фоном) </w:t>
      </w:r>
    </w:p>
    <w:p w14:paraId="7CCB57F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– Оформление с двух сторон одного листа (либо памятка в два сложения, либо европейский формат – 3 сложения) </w:t>
      </w:r>
    </w:p>
    <w:p w14:paraId="1FFAB02B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Данные о составителе размещать не надо, эмблему колледжа не размещаем </w:t>
      </w:r>
    </w:p>
    <w:p w14:paraId="6F452AD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B88CC4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A1086CB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При подготовке санбюллетеня: </w:t>
      </w:r>
    </w:p>
    <w:p w14:paraId="471007E4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− Используется формат</w:t>
      </w: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А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1 в альбомном расположении </w:t>
      </w:r>
    </w:p>
    <w:p w14:paraId="4D0B901E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Слово «санбюллетень» в названии не используется </w:t>
      </w:r>
    </w:p>
    <w:p w14:paraId="4FA4A404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Для взрослого населения используется соотношение иллюстрации – 20%, текст – 70%, пустое место – 10%. </w:t>
      </w:r>
    </w:p>
    <w:p w14:paraId="7A35147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Для младших школьников: иллюстрации – 70%, текст – 20%, пустое место – 10%. </w:t>
      </w:r>
    </w:p>
    <w:p w14:paraId="615F832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Размер шрифта – 22-24 пт. (не менее 1 см в высоту при рукописном выполнении, буквы только печатные, видно должно быть с расстояния 1,5 метра; для заголовка шрифт может быть больше) </w:t>
      </w:r>
    </w:p>
    <w:p w14:paraId="283772AB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7236DB7E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3D8F54A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При создании мультимедийной презентации: </w:t>
      </w:r>
    </w:p>
    <w:p w14:paraId="3EAF6974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На титульном слайде в правом нижнем углу указывается Фамилия имя составителя, эмблемы, логотипы не используем </w:t>
      </w:r>
    </w:p>
    <w:p w14:paraId="6A6D585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На последнем слайде размещаются ссылки на достоверные электронные ресурсы, выходные данные книг, которые может самостоятельно изучить пациент (не учебники!) </w:t>
      </w:r>
    </w:p>
    <w:p w14:paraId="7FE3BDB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На предпоследнем слайде размещается информация с краткими выводами по проведенному обучению (что узнали, что нужно делать) </w:t>
      </w:r>
    </w:p>
    <w:p w14:paraId="5EF26F8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Формат слайда – стандартный (не широкоформатный) </w:t>
      </w:r>
    </w:p>
    <w:p w14:paraId="15AD315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Фон слайда – светлый, без фоновых рисунков; шрифт контрастный - черный, темно-коричневый, темно-синий, темно-зеленый </w:t>
      </w:r>
      <w:proofErr w:type="gramEnd"/>
    </w:p>
    <w:p w14:paraId="304A78E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− На одном слайде используется не более 3 цветов (один цвет для шрифта заголовка, другой для основного текста) </w:t>
      </w:r>
    </w:p>
    <w:p w14:paraId="340DD6EB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Все заголовки – заглавными буквами (размер примерно – 32 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пт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) </w:t>
      </w:r>
    </w:p>
    <w:p w14:paraId="11FABF6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Основной текст – примерно 22 – 24 пт. </w:t>
      </w:r>
    </w:p>
    <w:p w14:paraId="5B8D979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− Точки с запятой, точки на слайдах ни в заголовках, ни в конце предложений, перечислений не ставятся </w:t>
      </w:r>
    </w:p>
    <w:p w14:paraId="61FCD55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:lang w:val="en-US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:lang w:val="en-US"/>
          <w14:ligatures w14:val="standardContextual"/>
        </w:rPr>
        <w:t xml:space="preserve">− 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Не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:lang w:val="en-US"/>
          <w14:ligatures w14:val="standardContextual"/>
        </w:rPr>
        <w:t xml:space="preserve"> 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используем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:lang w:val="en-US"/>
          <w14:ligatures w14:val="standardContextual"/>
        </w:rPr>
        <w:t xml:space="preserve"> Times New Roman, 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рекомендуется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:lang w:val="en-US"/>
          <w14:ligatures w14:val="standardContextual"/>
        </w:rPr>
        <w:t xml:space="preserve"> Calibri, Arial, Tahoma, Verdana </w:t>
      </w:r>
    </w:p>
    <w:p w14:paraId="3B915CDF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:lang w:val="en-US"/>
          <w14:ligatures w14:val="standardContextual"/>
        </w:rPr>
      </w:pPr>
    </w:p>
    <w:p w14:paraId="52A4B0E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</w:pPr>
      <w:r w:rsidRPr="00FF4579">
        <w:rPr>
          <w:rFonts w:ascii="Times New Roman" w:eastAsia="Calibri" w:hAnsi="Times New Roman" w:cs="Times New Roman"/>
          <w:i/>
          <w:iCs/>
          <w:kern w:val="2"/>
          <w:sz w:val="28"/>
          <w:szCs w:val="28"/>
          <w:u w:val="single"/>
          <w14:ligatures w14:val="standardContextual"/>
        </w:rPr>
        <w:t xml:space="preserve">При проведении гигиенического мероприятия важно учитывать возрастные особенности пациентов: </w:t>
      </w:r>
    </w:p>
    <w:p w14:paraId="13244CBE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Младшие школьники, дошкольники </w:t>
      </w:r>
    </w:p>
    <w:p w14:paraId="72A0C3ED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Общее время всего мероприятия – 15-20 минут с 2-мя физкультминутками, подвижными заданиями. </w:t>
      </w:r>
    </w:p>
    <w:p w14:paraId="1C89501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Время оптимального сосредоточения – 5-7 мин. то есть каждые 7 минут надо менять ход урока (сначала отгадывали загадки, потом выполняли движения по заданию, потом хором повторяли самое главное). </w:t>
      </w:r>
    </w:p>
    <w:p w14:paraId="5AD13E1E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Младшие школьники очень внушаемы, поэтому не сообщаем никаких явных симптомов заболеваний. </w:t>
      </w:r>
    </w:p>
    <w:p w14:paraId="2848E99B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Занятие должно быть похоже на праздник, представление с 2-3-4 ведущими (фельдшер и старшеклассники), а не на лекцию. </w:t>
      </w:r>
    </w:p>
    <w:p w14:paraId="1036979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Желательно использование костюмов, масок. «Уголок здоровья» оборудуется в каждом классе начальной школы. </w:t>
      </w:r>
    </w:p>
    <w:p w14:paraId="1961F26B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Буквы названия и все надписи – большие и яркие. Иллюстрации – 70%, текст – 20%, пустое место – 10%. Желательны маленькие подарки и поощрения (закупают на деньги родительского комитета или делают на уроках труда старшеклассники). </w:t>
      </w:r>
    </w:p>
    <w:p w14:paraId="04AA2E8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Подростки </w:t>
      </w:r>
    </w:p>
    <w:p w14:paraId="0FC6DB6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Время – 25-30 минут. </w:t>
      </w:r>
    </w:p>
    <w:p w14:paraId="5ADC2F1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Как варианты викторины, </w:t>
      </w:r>
      <w:proofErr w:type="spell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брейн</w:t>
      </w:r>
      <w:proofErr w:type="spell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– ринги. </w:t>
      </w:r>
    </w:p>
    <w:p w14:paraId="4C07B7C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Уже не нужны костюмы, может быть один – два ведущих. Хорошо реагируют на личный пример. Желательны экскурсии. </w:t>
      </w:r>
    </w:p>
    <w:p w14:paraId="5F2179F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Неприемлемы лекции в чистом виде. Возможно использование видео, аудиоматериалов, </w:t>
      </w: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слайд-презентаций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. </w:t>
      </w:r>
    </w:p>
    <w:p w14:paraId="22511FE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Совместная деятельность – выпуск журнала, сайта, проведение конференций. </w:t>
      </w:r>
    </w:p>
    <w:p w14:paraId="1D41774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Не занудствовать, не читать по бумажке монотонным голосом </w:t>
      </w:r>
    </w:p>
    <w:p w14:paraId="73888AAB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83CB9B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Молодой возраст (до 35 лет) </w:t>
      </w:r>
    </w:p>
    <w:p w14:paraId="2CAD2AB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Для человека характерны высокие показатели мыслительных функций, гибкость и подвижность в принятии решений, наиболее высокий потенциал обучаемости. </w:t>
      </w:r>
    </w:p>
    <w:p w14:paraId="0A4BD59E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При общении с пациентами этого возраста надо использовать стремление узнавать новое, учиться и воспринимать информацию. </w:t>
      </w:r>
    </w:p>
    <w:p w14:paraId="1A4ED7E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После 25 лет любознательность несколько снижается, появляются собственное мнение, свое видение болезни и здоровья. </w:t>
      </w:r>
    </w:p>
    <w:p w14:paraId="5DBD9A0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Вредные привычки наиболее устойчивы, даже закоренелые. Человек лучше контролирует невербальный компонент коммуникации, чаще использует косвенную обратную связь. </w:t>
      </w:r>
    </w:p>
    <w:p w14:paraId="4DCAC19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 ходе развития взрослого человека имеет место возрастание степени обучаемости (приблизительно до возраста 35-40 лет). </w:t>
      </w:r>
    </w:p>
    <w:p w14:paraId="76722096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При обучении или терапевтической беседе с пациентами данного возраста необходимо максимально учитывать важность конкретного знания, принципа здорового образа жизни для данного пациента. </w:t>
      </w:r>
    </w:p>
    <w:p w14:paraId="13590D1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Важно найти логическое обоснование именно для конкретного случая, предположить, что заставит человека изменить свое поведение, избавится от вредных привычек. </w:t>
      </w:r>
    </w:p>
    <w:p w14:paraId="5A56C7F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Для мужчины 30-35 лет это может быть желание продолжить работать с той же интенсивностью или даже пойти на повышение, для женщины – возможность полноценно ухаживать за детьми, увидеть их взрослыми. </w:t>
      </w:r>
    </w:p>
    <w:p w14:paraId="4E41846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281361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Зрелый возраст (35 – 60 лет)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</w:p>
    <w:p w14:paraId="7203EB1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Вербальные функции достигают самого высокого уровня после 40-45 лет. В то же время наблюдается некоторое снижение пластичности нервной системы, стереотипность мышления и поведения. </w:t>
      </w:r>
    </w:p>
    <w:p w14:paraId="1B5DAA3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Воспринять, приспособиться к новому становится труднее, причем большинство людей не осознают происходящих в них изменений». Информации лучше придать облик чего-то знакомого, не настаивать прямо на том, что человек все эти годы неправильно питался или чистил зубы. Подобные утверждения только вызовут ответное неприятие, даже агрессию. Позиция </w:t>
      </w:r>
      <w:proofErr w:type="gramStart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обучающего</w:t>
      </w:r>
      <w:proofErr w:type="gramEnd"/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- «равный делиться информацией с равным». </w:t>
      </w:r>
    </w:p>
    <w:p w14:paraId="7356EA7F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Не ставьте себя выше, не берите роль наставника. </w:t>
      </w:r>
    </w:p>
    <w:p w14:paraId="686EFC07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Время – 10-15 минут (все занятые люди, кому надо подойдет индивидуально). </w:t>
      </w:r>
    </w:p>
    <w:p w14:paraId="04C775F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Желательны видеоматериалы, слайд презентации, реальные цифры. </w:t>
      </w:r>
    </w:p>
    <w:p w14:paraId="7305E51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4319092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Обязательны маленькие, краткие памятки. </w:t>
      </w:r>
    </w:p>
    <w:p w14:paraId="3C84115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При подготовке печатных и наглядных материалов: иллюстрации – 20%, текст – 70%, пустое место – 10%. 7 д) </w:t>
      </w:r>
    </w:p>
    <w:p w14:paraId="3199604A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40FC72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Пожилой возраст (старше 60 лет)</w:t>
      </w: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</w:p>
    <w:p w14:paraId="4C572B6F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Люди старше 60 лет, как и маленькие дети, наиболее трудная в общении группа пациентов. В этом возрасте замедляются речевые реакции, беднеет объем невербальных компонентов, ослабевает образная память. </w:t>
      </w:r>
    </w:p>
    <w:p w14:paraId="472A111F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Пациент часто хорошо помнит то, что было много лет назад, но плохо запоминает текущую информацию и путает события недавнего прошлого. </w:t>
      </w:r>
    </w:p>
    <w:p w14:paraId="33DFBD4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Все эти особенности могут затруднять сбор у пациентов необходимых сведений, приходится обращаться за помощью к родственникам. При обучении таких пациентов необходимо быть особенно тактичными и внимательными, терпеливо отвечать на вопросы, которые больные задают уже не первый раз. </w:t>
      </w:r>
    </w:p>
    <w:p w14:paraId="296C7581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Беседовать с пациентами данной группы лучше неторопливо, отчетливо, фиксируя наиболее важные моменты перефразированием или простым повторением. </w:t>
      </w:r>
    </w:p>
    <w:p w14:paraId="40E49840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Необходимо предоставлять время для формулирования и обдумывания ответов. Поскольку пожилые люди демонстрируют значительные индивидуальные различия, то еще более значимым становится индивидуальный подход к пациенту. </w:t>
      </w:r>
    </w:p>
    <w:p w14:paraId="1CB1A68B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Требуется внимание к невербальной коммуникации. Фельдшер должен дать достоверную информацию пациенту по вопросам рационального образа жизни, помочь в формировании здоровых привычек. Необходимо снабдить пациента печатной литературой по формированию здорового образа жизни. </w:t>
      </w:r>
    </w:p>
    <w:p w14:paraId="664EED6C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Основная задача — побудить пациента к самообслуживанию и поэтапному решению проблем. </w:t>
      </w:r>
    </w:p>
    <w:p w14:paraId="7CF73AA5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Фельдшер при посещении пациента на дому должен повторять свои рекомендации как можно чаще, давать их не только устно, но и письменно, а также показать соответствующие приемы ухода на практике. </w:t>
      </w:r>
    </w:p>
    <w:p w14:paraId="3391DA28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Нужно также убедиться в том, что пациент правильно понял советы. Для этого можно попросить его повторить или показать в действии то, что фельдшер рекомендует делать. Важно также проводить обучение уходу родственников пожилого пациента. </w:t>
      </w:r>
    </w:p>
    <w:p w14:paraId="7D6B0113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В разговорах с больными пожилого и старческого возраста недопустимо напоминание об их возрасте с намеками на естественный конец жизненного пути. Обращения к пожилым больным типа «бабуся», «дедуля», пусть даже используемые из лучших побуждений, свидетельствуют о низкой культуре медицинских работников. </w:t>
      </w:r>
    </w:p>
    <w:p w14:paraId="0D154039" w14:textId="77777777" w:rsidR="000601DB" w:rsidRPr="00FF4579" w:rsidRDefault="000601DB" w:rsidP="00FF45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FF4579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Надо помнить, что пожилые больные вполне заслужили обращение к ним по имени и отчеству безо всякой иронии.</w:t>
      </w:r>
    </w:p>
    <w:bookmarkEnd w:id="0"/>
    <w:p w14:paraId="0C46ED85" w14:textId="09847897" w:rsidR="0035127D" w:rsidRPr="00FF4579" w:rsidRDefault="0035127D" w:rsidP="00FF4579">
      <w:pPr>
        <w:shd w:val="clear" w:color="auto" w:fill="FFFFFF"/>
        <w:spacing w:after="0" w:line="240" w:lineRule="auto"/>
        <w:ind w:firstLine="320"/>
        <w:jc w:val="both"/>
        <w:rPr>
          <w:rFonts w:ascii="Times New Roman" w:eastAsia="Times New Roman" w:hAnsi="Times New Roman" w:cs="Times New Roman"/>
          <w:color w:val="34464D"/>
          <w:sz w:val="28"/>
          <w:szCs w:val="28"/>
          <w:lang w:eastAsia="zh-CN"/>
        </w:rPr>
      </w:pPr>
    </w:p>
    <w:sectPr w:rsidR="0035127D" w:rsidRPr="00FF4579" w:rsidSect="00D2336A">
      <w:footerReference w:type="default" r:id="rId11"/>
      <w:pgSz w:w="11906" w:h="16838"/>
      <w:pgMar w:top="720" w:right="720" w:bottom="720" w:left="720" w:header="708" w:footer="1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610329" w14:textId="77777777" w:rsidR="00D2336A" w:rsidRDefault="00D2336A" w:rsidP="00D2336A">
      <w:pPr>
        <w:spacing w:after="0" w:line="240" w:lineRule="auto"/>
      </w:pPr>
      <w:r>
        <w:separator/>
      </w:r>
    </w:p>
  </w:endnote>
  <w:endnote w:type="continuationSeparator" w:id="0">
    <w:p w14:paraId="5D20CE9F" w14:textId="77777777" w:rsidR="00D2336A" w:rsidRDefault="00D2336A" w:rsidP="00D23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9807463"/>
      <w:docPartObj>
        <w:docPartGallery w:val="Page Numbers (Bottom of Page)"/>
        <w:docPartUnique/>
      </w:docPartObj>
    </w:sdtPr>
    <w:sdtEndPr/>
    <w:sdtContent>
      <w:p w14:paraId="2B0DE3CD" w14:textId="5C595C45" w:rsidR="00D2336A" w:rsidRDefault="00D2336A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4579">
          <w:rPr>
            <w:noProof/>
          </w:rPr>
          <w:t>20</w:t>
        </w:r>
        <w:r>
          <w:fldChar w:fldCharType="end"/>
        </w:r>
      </w:p>
    </w:sdtContent>
  </w:sdt>
  <w:p w14:paraId="638C0C34" w14:textId="77777777" w:rsidR="00D2336A" w:rsidRDefault="00D2336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69BD16" w14:textId="77777777" w:rsidR="00D2336A" w:rsidRDefault="00D2336A" w:rsidP="00D2336A">
      <w:pPr>
        <w:spacing w:after="0" w:line="240" w:lineRule="auto"/>
      </w:pPr>
      <w:r>
        <w:separator/>
      </w:r>
    </w:p>
  </w:footnote>
  <w:footnote w:type="continuationSeparator" w:id="0">
    <w:p w14:paraId="46AE87BC" w14:textId="77777777" w:rsidR="00D2336A" w:rsidRDefault="00D2336A" w:rsidP="00D233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14771"/>
    <w:multiLevelType w:val="hybridMultilevel"/>
    <w:tmpl w:val="23746FD4"/>
    <w:lvl w:ilvl="0" w:tplc="41CC8E8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B0B60"/>
    <w:multiLevelType w:val="hybridMultilevel"/>
    <w:tmpl w:val="4A7004D4"/>
    <w:lvl w:ilvl="0" w:tplc="91389670">
      <w:start w:val="1"/>
      <w:numFmt w:val="bullet"/>
      <w:lvlText w:val="­"/>
      <w:lvlJc w:val="left"/>
      <w:pPr>
        <w:ind w:left="10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">
    <w:nsid w:val="05067802"/>
    <w:multiLevelType w:val="hybridMultilevel"/>
    <w:tmpl w:val="91E46B8A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2976D1F"/>
    <w:multiLevelType w:val="hybridMultilevel"/>
    <w:tmpl w:val="F12493F2"/>
    <w:lvl w:ilvl="0" w:tplc="91389670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3B06A8F"/>
    <w:multiLevelType w:val="hybridMultilevel"/>
    <w:tmpl w:val="0A608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47252"/>
    <w:multiLevelType w:val="multilevel"/>
    <w:tmpl w:val="C6BE1BF4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8D7BF9"/>
    <w:multiLevelType w:val="hybridMultilevel"/>
    <w:tmpl w:val="92F42248"/>
    <w:lvl w:ilvl="0" w:tplc="9138967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03D9C"/>
    <w:multiLevelType w:val="hybridMultilevel"/>
    <w:tmpl w:val="83FE2C30"/>
    <w:lvl w:ilvl="0" w:tplc="91389670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1F2B707B"/>
    <w:multiLevelType w:val="hybridMultilevel"/>
    <w:tmpl w:val="F7A631AA"/>
    <w:lvl w:ilvl="0" w:tplc="91389670">
      <w:start w:val="1"/>
      <w:numFmt w:val="bullet"/>
      <w:lvlText w:val="­"/>
      <w:lvlJc w:val="left"/>
      <w:pPr>
        <w:ind w:left="104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9">
    <w:nsid w:val="1FB87E94"/>
    <w:multiLevelType w:val="hybridMultilevel"/>
    <w:tmpl w:val="85BABBCA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28D11ACF"/>
    <w:multiLevelType w:val="hybridMultilevel"/>
    <w:tmpl w:val="AB847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23434A"/>
    <w:multiLevelType w:val="hybridMultilevel"/>
    <w:tmpl w:val="BCCEBD54"/>
    <w:lvl w:ilvl="0" w:tplc="91389670">
      <w:start w:val="1"/>
      <w:numFmt w:val="bullet"/>
      <w:lvlText w:val="­"/>
      <w:lvlJc w:val="left"/>
      <w:pPr>
        <w:ind w:left="106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2">
    <w:nsid w:val="2C1E45C3"/>
    <w:multiLevelType w:val="hybridMultilevel"/>
    <w:tmpl w:val="9DC4DF0C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D096047"/>
    <w:multiLevelType w:val="hybridMultilevel"/>
    <w:tmpl w:val="AC2A6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AC667A"/>
    <w:multiLevelType w:val="hybridMultilevel"/>
    <w:tmpl w:val="39FCF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796CB1"/>
    <w:multiLevelType w:val="multilevel"/>
    <w:tmpl w:val="03D0AF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426170"/>
    <w:multiLevelType w:val="hybridMultilevel"/>
    <w:tmpl w:val="3A321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1E3FA4"/>
    <w:multiLevelType w:val="hybridMultilevel"/>
    <w:tmpl w:val="4C7CBF5E"/>
    <w:lvl w:ilvl="0" w:tplc="9138967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A20571"/>
    <w:multiLevelType w:val="hybridMultilevel"/>
    <w:tmpl w:val="DA1AB0C0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3D8E40F4"/>
    <w:multiLevelType w:val="hybridMultilevel"/>
    <w:tmpl w:val="273A2B9C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3E132008"/>
    <w:multiLevelType w:val="hybridMultilevel"/>
    <w:tmpl w:val="10502DE0"/>
    <w:lvl w:ilvl="0" w:tplc="91389670">
      <w:start w:val="1"/>
      <w:numFmt w:val="bullet"/>
      <w:lvlText w:val="­"/>
      <w:lvlJc w:val="left"/>
      <w:pPr>
        <w:ind w:left="18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454E165C"/>
    <w:multiLevelType w:val="hybridMultilevel"/>
    <w:tmpl w:val="D78CCE34"/>
    <w:lvl w:ilvl="0" w:tplc="91389670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>
    <w:nsid w:val="47856E59"/>
    <w:multiLevelType w:val="multilevel"/>
    <w:tmpl w:val="4888FF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Times New Roman" w:hAnsi="Helvetica" w:cs="Helvetica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4FB178C7"/>
    <w:multiLevelType w:val="hybridMultilevel"/>
    <w:tmpl w:val="23282730"/>
    <w:lvl w:ilvl="0" w:tplc="986AB4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550D0CAE"/>
    <w:multiLevelType w:val="hybridMultilevel"/>
    <w:tmpl w:val="57A02228"/>
    <w:lvl w:ilvl="0" w:tplc="91389670">
      <w:start w:val="1"/>
      <w:numFmt w:val="bullet"/>
      <w:lvlText w:val="­"/>
      <w:lvlJc w:val="left"/>
      <w:pPr>
        <w:ind w:left="10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5">
    <w:nsid w:val="556D08B4"/>
    <w:multiLevelType w:val="hybridMultilevel"/>
    <w:tmpl w:val="D1424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877DD9"/>
    <w:multiLevelType w:val="hybridMultilevel"/>
    <w:tmpl w:val="F52C2CEC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6388349A"/>
    <w:multiLevelType w:val="hybridMultilevel"/>
    <w:tmpl w:val="1AAA5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90647A"/>
    <w:multiLevelType w:val="hybridMultilevel"/>
    <w:tmpl w:val="B1047842"/>
    <w:lvl w:ilvl="0" w:tplc="91389670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A9213A"/>
    <w:multiLevelType w:val="hybridMultilevel"/>
    <w:tmpl w:val="AFD4D8F0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>
    <w:nsid w:val="69BE599B"/>
    <w:multiLevelType w:val="hybridMultilevel"/>
    <w:tmpl w:val="38347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5C1C90"/>
    <w:multiLevelType w:val="hybridMultilevel"/>
    <w:tmpl w:val="B8A2D174"/>
    <w:lvl w:ilvl="0" w:tplc="91389670">
      <w:start w:val="1"/>
      <w:numFmt w:val="bullet"/>
      <w:lvlText w:val="­"/>
      <w:lvlJc w:val="left"/>
      <w:pPr>
        <w:tabs>
          <w:tab w:val="num" w:pos="540"/>
        </w:tabs>
        <w:ind w:left="540" w:hanging="360"/>
      </w:pPr>
      <w:rPr>
        <w:rFonts w:ascii="Courier New" w:hAnsi="Courier New" w:hint="default"/>
      </w:rPr>
    </w:lvl>
    <w:lvl w:ilvl="1" w:tplc="E02C961A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FF42FCD"/>
    <w:multiLevelType w:val="multilevel"/>
    <w:tmpl w:val="0BB81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05D6151"/>
    <w:multiLevelType w:val="hybridMultilevel"/>
    <w:tmpl w:val="5212E522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70716B15"/>
    <w:multiLevelType w:val="hybridMultilevel"/>
    <w:tmpl w:val="C23AC406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>
    <w:nsid w:val="761E2568"/>
    <w:multiLevelType w:val="hybridMultilevel"/>
    <w:tmpl w:val="CD420756"/>
    <w:lvl w:ilvl="0" w:tplc="91389670">
      <w:start w:val="1"/>
      <w:numFmt w:val="bullet"/>
      <w:lvlText w:val="­"/>
      <w:lvlJc w:val="left"/>
      <w:pPr>
        <w:ind w:left="172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7"/>
  </w:num>
  <w:num w:numId="4">
    <w:abstractNumId w:val="21"/>
  </w:num>
  <w:num w:numId="5">
    <w:abstractNumId w:val="31"/>
  </w:num>
  <w:num w:numId="6">
    <w:abstractNumId w:val="10"/>
  </w:num>
  <w:num w:numId="7">
    <w:abstractNumId w:val="17"/>
  </w:num>
  <w:num w:numId="8">
    <w:abstractNumId w:val="23"/>
  </w:num>
  <w:num w:numId="9">
    <w:abstractNumId w:val="26"/>
  </w:num>
  <w:num w:numId="10">
    <w:abstractNumId w:val="11"/>
  </w:num>
  <w:num w:numId="11">
    <w:abstractNumId w:val="18"/>
  </w:num>
  <w:num w:numId="12">
    <w:abstractNumId w:val="35"/>
  </w:num>
  <w:num w:numId="13">
    <w:abstractNumId w:val="32"/>
  </w:num>
  <w:num w:numId="14">
    <w:abstractNumId w:val="5"/>
  </w:num>
  <w:num w:numId="15">
    <w:abstractNumId w:val="3"/>
  </w:num>
  <w:num w:numId="16">
    <w:abstractNumId w:val="4"/>
  </w:num>
  <w:num w:numId="17">
    <w:abstractNumId w:val="33"/>
  </w:num>
  <w:num w:numId="18">
    <w:abstractNumId w:val="12"/>
  </w:num>
  <w:num w:numId="19">
    <w:abstractNumId w:val="0"/>
  </w:num>
  <w:num w:numId="20">
    <w:abstractNumId w:val="14"/>
  </w:num>
  <w:num w:numId="21">
    <w:abstractNumId w:val="16"/>
  </w:num>
  <w:num w:numId="22">
    <w:abstractNumId w:val="30"/>
  </w:num>
  <w:num w:numId="23">
    <w:abstractNumId w:val="25"/>
  </w:num>
  <w:num w:numId="24">
    <w:abstractNumId w:val="6"/>
  </w:num>
  <w:num w:numId="25">
    <w:abstractNumId w:val="27"/>
  </w:num>
  <w:num w:numId="26">
    <w:abstractNumId w:val="1"/>
  </w:num>
  <w:num w:numId="27">
    <w:abstractNumId w:val="8"/>
  </w:num>
  <w:num w:numId="28">
    <w:abstractNumId w:val="28"/>
  </w:num>
  <w:num w:numId="29">
    <w:abstractNumId w:val="2"/>
  </w:num>
  <w:num w:numId="30">
    <w:abstractNumId w:val="24"/>
  </w:num>
  <w:num w:numId="31">
    <w:abstractNumId w:val="20"/>
  </w:num>
  <w:num w:numId="32">
    <w:abstractNumId w:val="13"/>
  </w:num>
  <w:num w:numId="33">
    <w:abstractNumId w:val="29"/>
  </w:num>
  <w:num w:numId="34">
    <w:abstractNumId w:val="19"/>
  </w:num>
  <w:num w:numId="35">
    <w:abstractNumId w:val="9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F95"/>
    <w:rsid w:val="000601DB"/>
    <w:rsid w:val="001104EF"/>
    <w:rsid w:val="00152DD1"/>
    <w:rsid w:val="00185278"/>
    <w:rsid w:val="00187970"/>
    <w:rsid w:val="001D71F1"/>
    <w:rsid w:val="0026573D"/>
    <w:rsid w:val="0028282D"/>
    <w:rsid w:val="0035127D"/>
    <w:rsid w:val="00462ED5"/>
    <w:rsid w:val="00485516"/>
    <w:rsid w:val="004A5EF3"/>
    <w:rsid w:val="00512F62"/>
    <w:rsid w:val="00563096"/>
    <w:rsid w:val="00571F9B"/>
    <w:rsid w:val="005A0808"/>
    <w:rsid w:val="005D22FF"/>
    <w:rsid w:val="00624FF2"/>
    <w:rsid w:val="00653B6C"/>
    <w:rsid w:val="006A295C"/>
    <w:rsid w:val="006D251B"/>
    <w:rsid w:val="00732A70"/>
    <w:rsid w:val="00733E99"/>
    <w:rsid w:val="0076325A"/>
    <w:rsid w:val="007F7503"/>
    <w:rsid w:val="00820883"/>
    <w:rsid w:val="0097377B"/>
    <w:rsid w:val="009C21A3"/>
    <w:rsid w:val="009C59BB"/>
    <w:rsid w:val="00B33D43"/>
    <w:rsid w:val="00B83447"/>
    <w:rsid w:val="00CA4F95"/>
    <w:rsid w:val="00CC3509"/>
    <w:rsid w:val="00D2336A"/>
    <w:rsid w:val="00DB1EB8"/>
    <w:rsid w:val="00DF7471"/>
    <w:rsid w:val="00E37EF3"/>
    <w:rsid w:val="00EC6F90"/>
    <w:rsid w:val="00EC79CA"/>
    <w:rsid w:val="00F2665B"/>
    <w:rsid w:val="00F432FE"/>
    <w:rsid w:val="00F76B1E"/>
    <w:rsid w:val="00FE766F"/>
    <w:rsid w:val="00FF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49CD4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96"/>
  </w:style>
  <w:style w:type="paragraph" w:styleId="1">
    <w:name w:val="heading 1"/>
    <w:basedOn w:val="a"/>
    <w:next w:val="a"/>
    <w:link w:val="10"/>
    <w:uiPriority w:val="9"/>
    <w:qFormat/>
    <w:rsid w:val="00DB1E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5EF3"/>
    <w:pPr>
      <w:keepNext/>
      <w:keepLines/>
      <w:spacing w:before="40" w:after="0"/>
      <w:outlineLvl w:val="1"/>
    </w:pPr>
    <w:rPr>
      <w:rFonts w:ascii="Cambria" w:eastAsia="SimSun" w:hAnsi="Cambria" w:cs="Times New Roman"/>
      <w:color w:val="365F9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A5E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28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8282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B1E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11">
    <w:name w:val="Сетка таблицы светлая1"/>
    <w:basedOn w:val="a1"/>
    <w:next w:val="21"/>
    <w:uiPriority w:val="40"/>
    <w:rsid w:val="00FE766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1">
    <w:name w:val="Сетка таблицы светлая2"/>
    <w:basedOn w:val="a1"/>
    <w:uiPriority w:val="40"/>
    <w:rsid w:val="00FE766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header"/>
    <w:basedOn w:val="a"/>
    <w:link w:val="a6"/>
    <w:uiPriority w:val="99"/>
    <w:unhideWhenUsed/>
    <w:rsid w:val="00D23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336A"/>
  </w:style>
  <w:style w:type="paragraph" w:styleId="a7">
    <w:name w:val="footer"/>
    <w:basedOn w:val="a"/>
    <w:link w:val="a8"/>
    <w:uiPriority w:val="99"/>
    <w:unhideWhenUsed/>
    <w:rsid w:val="00D23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336A"/>
  </w:style>
  <w:style w:type="character" w:styleId="a9">
    <w:name w:val="Hyperlink"/>
    <w:basedOn w:val="a0"/>
    <w:uiPriority w:val="99"/>
    <w:unhideWhenUsed/>
    <w:rsid w:val="00187970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187970"/>
    <w:rPr>
      <w:color w:val="605E5C"/>
      <w:shd w:val="clear" w:color="auto" w:fill="E1DFDD"/>
    </w:rPr>
  </w:style>
  <w:style w:type="table" w:styleId="aa">
    <w:name w:val="Table Grid"/>
    <w:basedOn w:val="a1"/>
    <w:uiPriority w:val="39"/>
    <w:rsid w:val="00820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311">
    <w:name w:val="Таблица-сетка 3 — акцент 11"/>
    <w:basedOn w:val="a1"/>
    <w:uiPriority w:val="48"/>
    <w:rsid w:val="0082088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customStyle="1" w:styleId="-211">
    <w:name w:val="Таблица-сетка 2 — акцент 11"/>
    <w:basedOn w:val="a1"/>
    <w:uiPriority w:val="47"/>
    <w:rsid w:val="006D251B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ab">
    <w:name w:val="Balloon Text"/>
    <w:basedOn w:val="a"/>
    <w:link w:val="ac"/>
    <w:uiPriority w:val="99"/>
    <w:semiHidden/>
    <w:unhideWhenUsed/>
    <w:rsid w:val="00265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6573D"/>
    <w:rPr>
      <w:rFonts w:ascii="Tahoma" w:hAnsi="Tahoma" w:cs="Tahoma"/>
      <w:sz w:val="16"/>
      <w:szCs w:val="16"/>
    </w:rPr>
  </w:style>
  <w:style w:type="paragraph" w:customStyle="1" w:styleId="210">
    <w:name w:val="Заголовок 21"/>
    <w:basedOn w:val="a"/>
    <w:next w:val="a"/>
    <w:uiPriority w:val="9"/>
    <w:semiHidden/>
    <w:unhideWhenUsed/>
    <w:qFormat/>
    <w:rsid w:val="004A5EF3"/>
    <w:pPr>
      <w:keepNext/>
      <w:keepLines/>
      <w:spacing w:before="40" w:after="0" w:line="276" w:lineRule="auto"/>
      <w:outlineLvl w:val="1"/>
    </w:pPr>
    <w:rPr>
      <w:rFonts w:ascii="Cambria" w:eastAsia="SimSun" w:hAnsi="Cambria" w:cs="Times New Roman"/>
      <w:color w:val="365F91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4A5EF3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numbering" w:customStyle="1" w:styleId="13">
    <w:name w:val="Нет списка1"/>
    <w:next w:val="a2"/>
    <w:uiPriority w:val="99"/>
    <w:semiHidden/>
    <w:unhideWhenUsed/>
    <w:rsid w:val="004A5EF3"/>
  </w:style>
  <w:style w:type="character" w:customStyle="1" w:styleId="20">
    <w:name w:val="Заголовок 2 Знак"/>
    <w:basedOn w:val="a0"/>
    <w:link w:val="2"/>
    <w:uiPriority w:val="9"/>
    <w:semiHidden/>
    <w:rsid w:val="004A5EF3"/>
    <w:rPr>
      <w:rFonts w:ascii="Cambria" w:eastAsia="SimSun" w:hAnsi="Cambria" w:cs="Times New Roman"/>
      <w:color w:val="365F91"/>
      <w:sz w:val="26"/>
      <w:szCs w:val="26"/>
    </w:rPr>
  </w:style>
  <w:style w:type="table" w:customStyle="1" w:styleId="31">
    <w:name w:val="Сетка таблицы светлая3"/>
    <w:basedOn w:val="a1"/>
    <w:next w:val="GridTableLight"/>
    <w:uiPriority w:val="40"/>
    <w:rsid w:val="004A5EF3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0">
    <w:name w:val="Таблица простая 11"/>
    <w:basedOn w:val="a1"/>
    <w:next w:val="PlainTable1"/>
    <w:uiPriority w:val="41"/>
    <w:rsid w:val="004A5EF3"/>
    <w:pPr>
      <w:spacing w:after="0" w:line="240" w:lineRule="auto"/>
    </w:pPr>
    <w:rPr>
      <w:rFonts w:eastAsia="SimSun"/>
      <w:lang w:eastAsia="zh-CN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211">
    <w:name w:val="Заголовок 2 Знак1"/>
    <w:basedOn w:val="a0"/>
    <w:uiPriority w:val="9"/>
    <w:semiHidden/>
    <w:rsid w:val="004A5EF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GridTableLight">
    <w:name w:val="Grid Table Light"/>
    <w:basedOn w:val="a1"/>
    <w:uiPriority w:val="40"/>
    <w:rsid w:val="004A5EF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a1"/>
    <w:uiPriority w:val="41"/>
    <w:rsid w:val="004A5E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4">
    <w:name w:val="Сетка таблицы светлая4"/>
    <w:basedOn w:val="a1"/>
    <w:next w:val="GridTableLight"/>
    <w:uiPriority w:val="40"/>
    <w:rsid w:val="000601D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96"/>
  </w:style>
  <w:style w:type="paragraph" w:styleId="1">
    <w:name w:val="heading 1"/>
    <w:basedOn w:val="a"/>
    <w:next w:val="a"/>
    <w:link w:val="10"/>
    <w:uiPriority w:val="9"/>
    <w:qFormat/>
    <w:rsid w:val="00DB1E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5EF3"/>
    <w:pPr>
      <w:keepNext/>
      <w:keepLines/>
      <w:spacing w:before="40" w:after="0"/>
      <w:outlineLvl w:val="1"/>
    </w:pPr>
    <w:rPr>
      <w:rFonts w:ascii="Cambria" w:eastAsia="SimSun" w:hAnsi="Cambria" w:cs="Times New Roman"/>
      <w:color w:val="365F9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A5E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28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8282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B1E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11">
    <w:name w:val="Сетка таблицы светлая1"/>
    <w:basedOn w:val="a1"/>
    <w:next w:val="21"/>
    <w:uiPriority w:val="40"/>
    <w:rsid w:val="00FE766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1">
    <w:name w:val="Сетка таблицы светлая2"/>
    <w:basedOn w:val="a1"/>
    <w:uiPriority w:val="40"/>
    <w:rsid w:val="00FE766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header"/>
    <w:basedOn w:val="a"/>
    <w:link w:val="a6"/>
    <w:uiPriority w:val="99"/>
    <w:unhideWhenUsed/>
    <w:rsid w:val="00D23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2336A"/>
  </w:style>
  <w:style w:type="paragraph" w:styleId="a7">
    <w:name w:val="footer"/>
    <w:basedOn w:val="a"/>
    <w:link w:val="a8"/>
    <w:uiPriority w:val="99"/>
    <w:unhideWhenUsed/>
    <w:rsid w:val="00D23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2336A"/>
  </w:style>
  <w:style w:type="character" w:styleId="a9">
    <w:name w:val="Hyperlink"/>
    <w:basedOn w:val="a0"/>
    <w:uiPriority w:val="99"/>
    <w:unhideWhenUsed/>
    <w:rsid w:val="00187970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187970"/>
    <w:rPr>
      <w:color w:val="605E5C"/>
      <w:shd w:val="clear" w:color="auto" w:fill="E1DFDD"/>
    </w:rPr>
  </w:style>
  <w:style w:type="table" w:styleId="aa">
    <w:name w:val="Table Grid"/>
    <w:basedOn w:val="a1"/>
    <w:uiPriority w:val="39"/>
    <w:rsid w:val="00820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311">
    <w:name w:val="Таблица-сетка 3 — акцент 11"/>
    <w:basedOn w:val="a1"/>
    <w:uiPriority w:val="48"/>
    <w:rsid w:val="0082088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customStyle="1" w:styleId="-211">
    <w:name w:val="Таблица-сетка 2 — акцент 11"/>
    <w:basedOn w:val="a1"/>
    <w:uiPriority w:val="47"/>
    <w:rsid w:val="006D251B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ab">
    <w:name w:val="Balloon Text"/>
    <w:basedOn w:val="a"/>
    <w:link w:val="ac"/>
    <w:uiPriority w:val="99"/>
    <w:semiHidden/>
    <w:unhideWhenUsed/>
    <w:rsid w:val="00265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6573D"/>
    <w:rPr>
      <w:rFonts w:ascii="Tahoma" w:hAnsi="Tahoma" w:cs="Tahoma"/>
      <w:sz w:val="16"/>
      <w:szCs w:val="16"/>
    </w:rPr>
  </w:style>
  <w:style w:type="paragraph" w:customStyle="1" w:styleId="210">
    <w:name w:val="Заголовок 21"/>
    <w:basedOn w:val="a"/>
    <w:next w:val="a"/>
    <w:uiPriority w:val="9"/>
    <w:semiHidden/>
    <w:unhideWhenUsed/>
    <w:qFormat/>
    <w:rsid w:val="004A5EF3"/>
    <w:pPr>
      <w:keepNext/>
      <w:keepLines/>
      <w:spacing w:before="40" w:after="0" w:line="276" w:lineRule="auto"/>
      <w:outlineLvl w:val="1"/>
    </w:pPr>
    <w:rPr>
      <w:rFonts w:ascii="Cambria" w:eastAsia="SimSun" w:hAnsi="Cambria" w:cs="Times New Roman"/>
      <w:color w:val="365F91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4A5EF3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numbering" w:customStyle="1" w:styleId="13">
    <w:name w:val="Нет списка1"/>
    <w:next w:val="a2"/>
    <w:uiPriority w:val="99"/>
    <w:semiHidden/>
    <w:unhideWhenUsed/>
    <w:rsid w:val="004A5EF3"/>
  </w:style>
  <w:style w:type="character" w:customStyle="1" w:styleId="20">
    <w:name w:val="Заголовок 2 Знак"/>
    <w:basedOn w:val="a0"/>
    <w:link w:val="2"/>
    <w:uiPriority w:val="9"/>
    <w:semiHidden/>
    <w:rsid w:val="004A5EF3"/>
    <w:rPr>
      <w:rFonts w:ascii="Cambria" w:eastAsia="SimSun" w:hAnsi="Cambria" w:cs="Times New Roman"/>
      <w:color w:val="365F91"/>
      <w:sz w:val="26"/>
      <w:szCs w:val="26"/>
    </w:rPr>
  </w:style>
  <w:style w:type="table" w:customStyle="1" w:styleId="31">
    <w:name w:val="Сетка таблицы светлая3"/>
    <w:basedOn w:val="a1"/>
    <w:next w:val="GridTableLight"/>
    <w:uiPriority w:val="40"/>
    <w:rsid w:val="004A5EF3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110">
    <w:name w:val="Таблица простая 11"/>
    <w:basedOn w:val="a1"/>
    <w:next w:val="PlainTable1"/>
    <w:uiPriority w:val="41"/>
    <w:rsid w:val="004A5EF3"/>
    <w:pPr>
      <w:spacing w:after="0" w:line="240" w:lineRule="auto"/>
    </w:pPr>
    <w:rPr>
      <w:rFonts w:eastAsia="SimSun"/>
      <w:lang w:eastAsia="zh-CN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211">
    <w:name w:val="Заголовок 2 Знак1"/>
    <w:basedOn w:val="a0"/>
    <w:uiPriority w:val="9"/>
    <w:semiHidden/>
    <w:rsid w:val="004A5EF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GridTableLight">
    <w:name w:val="Grid Table Light"/>
    <w:basedOn w:val="a1"/>
    <w:uiPriority w:val="40"/>
    <w:rsid w:val="004A5EF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a1"/>
    <w:uiPriority w:val="41"/>
    <w:rsid w:val="004A5E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4">
    <w:name w:val="Сетка таблицы светлая4"/>
    <w:basedOn w:val="a1"/>
    <w:next w:val="GridTableLight"/>
    <w:uiPriority w:val="40"/>
    <w:rsid w:val="000601D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20</Pages>
  <Words>7250</Words>
  <Characters>41330</Characters>
  <Application>Microsoft Office Word</Application>
  <DocSecurity>0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15</cp:revision>
  <cp:lastPrinted>2025-08-27T06:11:00Z</cp:lastPrinted>
  <dcterms:created xsi:type="dcterms:W3CDTF">2025-08-27T05:11:00Z</dcterms:created>
  <dcterms:modified xsi:type="dcterms:W3CDTF">2026-09-16T06:10:00Z</dcterms:modified>
</cp:coreProperties>
</file>